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2F" w:rsidRDefault="001A092F"/>
    <w:p w:rsidR="001A092F" w:rsidRDefault="001A092F"/>
    <w:p w:rsidR="001A092F" w:rsidRDefault="001A092F" w:rsidP="001A092F">
      <w:pPr>
        <w:jc w:val="center"/>
        <w:rPr>
          <w:b/>
          <w:sz w:val="40"/>
          <w:szCs w:val="40"/>
        </w:rPr>
      </w:pPr>
    </w:p>
    <w:p w:rsidR="001A092F" w:rsidRDefault="001A092F" w:rsidP="005A7E71">
      <w:pPr>
        <w:rPr>
          <w:b/>
          <w:sz w:val="40"/>
          <w:szCs w:val="40"/>
        </w:rPr>
      </w:pPr>
    </w:p>
    <w:p w:rsidR="005A7E71" w:rsidRDefault="00FB2E53" w:rsidP="005A7E71">
      <w:r>
        <w:rPr>
          <w:noProof/>
          <w:lang w:eastAsia="en-IE"/>
        </w:rPr>
        <w:drawing>
          <wp:inline distT="0" distB="0" distL="0" distR="0">
            <wp:extent cx="9429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590550"/>
                    </a:xfrm>
                    <a:prstGeom prst="rect">
                      <a:avLst/>
                    </a:prstGeom>
                    <a:noFill/>
                    <a:ln>
                      <a:noFill/>
                    </a:ln>
                  </pic:spPr>
                </pic:pic>
              </a:graphicData>
            </a:graphic>
          </wp:inline>
        </w:drawing>
      </w:r>
      <w:r>
        <w:rPr>
          <w:noProof/>
          <w:lang w:eastAsia="en-IE"/>
        </w:rPr>
        <w:drawing>
          <wp:inline distT="0" distB="0" distL="0" distR="0">
            <wp:extent cx="1247775" cy="590550"/>
            <wp:effectExtent l="0" t="0" r="9525" b="0"/>
            <wp:docPr id="3" name="Picture 3" descr="ESIF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F Funds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590550"/>
                    </a:xfrm>
                    <a:prstGeom prst="rect">
                      <a:avLst/>
                    </a:prstGeom>
                    <a:noFill/>
                    <a:ln>
                      <a:noFill/>
                    </a:ln>
                  </pic:spPr>
                </pic:pic>
              </a:graphicData>
            </a:graphic>
          </wp:inline>
        </w:drawing>
      </w:r>
      <w:r>
        <w:rPr>
          <w:noProof/>
          <w:lang w:eastAsia="en-IE"/>
        </w:rPr>
        <w:drawing>
          <wp:inline distT="0" distB="0" distL="0" distR="0">
            <wp:extent cx="1400175" cy="590550"/>
            <wp:effectExtent l="0" t="0" r="9525" b="0"/>
            <wp:docPr id="4" name="Picture 4" descr="EM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FF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824"/>
                    <a:stretch>
                      <a:fillRect/>
                    </a:stretch>
                  </pic:blipFill>
                  <pic:spPr bwMode="auto">
                    <a:xfrm>
                      <a:off x="0" y="0"/>
                      <a:ext cx="1400175" cy="590550"/>
                    </a:xfrm>
                    <a:prstGeom prst="rect">
                      <a:avLst/>
                    </a:prstGeom>
                    <a:noFill/>
                    <a:ln>
                      <a:noFill/>
                    </a:ln>
                  </pic:spPr>
                </pic:pic>
              </a:graphicData>
            </a:graphic>
          </wp:inline>
        </w:drawing>
      </w:r>
      <w:r>
        <w:rPr>
          <w:noProof/>
          <w:lang w:eastAsia="en-IE"/>
        </w:rPr>
        <w:drawing>
          <wp:inline distT="0" distB="0" distL="0" distR="0">
            <wp:extent cx="1276350" cy="619125"/>
            <wp:effectExtent l="0" t="0" r="0" b="9525"/>
            <wp:docPr id="5" name="Picture 5" descr="eafrd-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frd-logo-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619125"/>
                    </a:xfrm>
                    <a:prstGeom prst="rect">
                      <a:avLst/>
                    </a:prstGeom>
                    <a:noFill/>
                    <a:ln>
                      <a:noFill/>
                    </a:ln>
                  </pic:spPr>
                </pic:pic>
              </a:graphicData>
            </a:graphic>
          </wp:inline>
        </w:drawing>
      </w:r>
    </w:p>
    <w:p w:rsidR="001A092F" w:rsidRDefault="001A092F" w:rsidP="001A092F">
      <w:pPr>
        <w:jc w:val="center"/>
        <w:rPr>
          <w:b/>
          <w:sz w:val="40"/>
          <w:szCs w:val="40"/>
        </w:rPr>
      </w:pPr>
    </w:p>
    <w:p w:rsidR="001A092F" w:rsidRDefault="001A092F" w:rsidP="005A7E71">
      <w:pPr>
        <w:rPr>
          <w:b/>
          <w:sz w:val="40"/>
          <w:szCs w:val="40"/>
        </w:rPr>
      </w:pPr>
    </w:p>
    <w:p w:rsidR="001A092F" w:rsidRPr="005E7D8A" w:rsidRDefault="001A092F" w:rsidP="001A092F">
      <w:pPr>
        <w:jc w:val="center"/>
        <w:rPr>
          <w:b/>
          <w:sz w:val="40"/>
          <w:szCs w:val="40"/>
        </w:rPr>
      </w:pPr>
      <w:r w:rsidRPr="005E7D8A">
        <w:rPr>
          <w:b/>
          <w:sz w:val="40"/>
          <w:szCs w:val="40"/>
        </w:rPr>
        <w:t>Public Consultation Paper</w:t>
      </w:r>
    </w:p>
    <w:p w:rsidR="001A092F" w:rsidRDefault="001A092F" w:rsidP="001A092F">
      <w:pPr>
        <w:jc w:val="center"/>
        <w:rPr>
          <w:b/>
          <w:sz w:val="28"/>
          <w:szCs w:val="28"/>
        </w:rPr>
      </w:pPr>
    </w:p>
    <w:p w:rsidR="001A092F" w:rsidRPr="005E7D8A" w:rsidRDefault="001A092F" w:rsidP="001A092F">
      <w:pPr>
        <w:jc w:val="center"/>
        <w:rPr>
          <w:b/>
          <w:sz w:val="40"/>
          <w:szCs w:val="40"/>
        </w:rPr>
      </w:pPr>
      <w:r w:rsidRPr="005E7D8A">
        <w:rPr>
          <w:b/>
          <w:sz w:val="40"/>
          <w:szCs w:val="40"/>
        </w:rPr>
        <w:t>Proposal to introduce</w:t>
      </w:r>
      <w:r w:rsidRPr="008C4CB8">
        <w:rPr>
          <w:b/>
          <w:sz w:val="28"/>
          <w:szCs w:val="28"/>
        </w:rPr>
        <w:t xml:space="preserve"> </w:t>
      </w:r>
      <w:r w:rsidRPr="005E7D8A">
        <w:rPr>
          <w:b/>
          <w:sz w:val="40"/>
          <w:szCs w:val="40"/>
        </w:rPr>
        <w:t xml:space="preserve">Financial Instruments </w:t>
      </w:r>
      <w:r>
        <w:rPr>
          <w:b/>
          <w:sz w:val="40"/>
          <w:szCs w:val="40"/>
        </w:rPr>
        <w:t>under t</w:t>
      </w:r>
      <w:r w:rsidRPr="005E7D8A">
        <w:rPr>
          <w:b/>
          <w:sz w:val="40"/>
          <w:szCs w:val="40"/>
        </w:rPr>
        <w:t>he Rural Development Programme 2014-2020 and the European Maritime Fisheries Fund Operational Programme 2014-2020</w:t>
      </w:r>
    </w:p>
    <w:p w:rsidR="001A092F" w:rsidRDefault="001A092F" w:rsidP="001A092F">
      <w:pPr>
        <w:rPr>
          <w:b/>
        </w:rPr>
      </w:pPr>
    </w:p>
    <w:p w:rsidR="001A092F" w:rsidRDefault="001A092F" w:rsidP="001A092F">
      <w:pPr>
        <w:rPr>
          <w:sz w:val="32"/>
          <w:szCs w:val="32"/>
        </w:rPr>
      </w:pPr>
    </w:p>
    <w:p w:rsidR="001A092F" w:rsidRPr="005E7D8A" w:rsidRDefault="001A092F" w:rsidP="001A092F">
      <w:pPr>
        <w:jc w:val="center"/>
        <w:rPr>
          <w:sz w:val="36"/>
          <w:szCs w:val="36"/>
        </w:rPr>
      </w:pPr>
      <w:r w:rsidRPr="005E7D8A">
        <w:rPr>
          <w:sz w:val="36"/>
          <w:szCs w:val="36"/>
        </w:rPr>
        <w:t>Department of Agriculture, Food and the Marine</w:t>
      </w:r>
    </w:p>
    <w:p w:rsidR="001A092F" w:rsidRDefault="001A092F" w:rsidP="001A092F">
      <w:pPr>
        <w:jc w:val="center"/>
      </w:pPr>
    </w:p>
    <w:p w:rsidR="001A092F" w:rsidRDefault="001A092F" w:rsidP="001A092F">
      <w:pPr>
        <w:jc w:val="center"/>
      </w:pPr>
    </w:p>
    <w:p w:rsidR="001A092F" w:rsidRPr="00C50445" w:rsidRDefault="001A092F" w:rsidP="001A092F">
      <w:pPr>
        <w:jc w:val="center"/>
        <w:rPr>
          <w:sz w:val="32"/>
          <w:szCs w:val="32"/>
        </w:rPr>
      </w:pPr>
      <w:r>
        <w:rPr>
          <w:sz w:val="32"/>
          <w:szCs w:val="32"/>
        </w:rPr>
        <w:t>13</w:t>
      </w:r>
      <w:r w:rsidRPr="005E7D8A">
        <w:rPr>
          <w:sz w:val="32"/>
          <w:szCs w:val="32"/>
          <w:vertAlign w:val="superscript"/>
        </w:rPr>
        <w:t>th</w:t>
      </w:r>
      <w:r>
        <w:rPr>
          <w:sz w:val="32"/>
          <w:szCs w:val="32"/>
        </w:rPr>
        <w:t xml:space="preserve"> September</w:t>
      </w:r>
      <w:r w:rsidRPr="00C50445">
        <w:rPr>
          <w:sz w:val="32"/>
          <w:szCs w:val="32"/>
        </w:rPr>
        <w:t>, 2017</w:t>
      </w:r>
    </w:p>
    <w:p w:rsidR="001A092F" w:rsidRDefault="001A092F" w:rsidP="001A092F">
      <w:pPr>
        <w:jc w:val="center"/>
      </w:pPr>
    </w:p>
    <w:p w:rsidR="001A092F" w:rsidRDefault="001A092F" w:rsidP="001A092F">
      <w:pPr>
        <w:jc w:val="center"/>
      </w:pPr>
    </w:p>
    <w:p w:rsidR="001A092F" w:rsidRDefault="001A092F" w:rsidP="001A092F">
      <w:pPr>
        <w:spacing w:line="360" w:lineRule="auto"/>
        <w:jc w:val="center"/>
      </w:pPr>
      <w:r>
        <w:t>Rural Development Division</w:t>
      </w:r>
      <w:r w:rsidR="00A20245">
        <w:t xml:space="preserve"> </w:t>
      </w:r>
    </w:p>
    <w:p w:rsidR="001A092F" w:rsidRDefault="001A092F" w:rsidP="001A092F">
      <w:pPr>
        <w:spacing w:line="360" w:lineRule="auto"/>
        <w:jc w:val="center"/>
      </w:pPr>
      <w:r>
        <w:t>Department of Agriculture, Food and the Marine</w:t>
      </w:r>
    </w:p>
    <w:p w:rsidR="001A092F" w:rsidRDefault="001A092F" w:rsidP="001A092F">
      <w:pPr>
        <w:spacing w:line="360" w:lineRule="auto"/>
        <w:jc w:val="center"/>
      </w:pPr>
      <w:r>
        <w:t>Agriculture House, Kildare Street, Dublin 2</w:t>
      </w:r>
    </w:p>
    <w:p w:rsidR="001A092F" w:rsidRDefault="001A092F" w:rsidP="001A092F">
      <w:pPr>
        <w:spacing w:line="360" w:lineRule="auto"/>
        <w:jc w:val="center"/>
      </w:pPr>
      <w:r>
        <w:t>Ireland</w:t>
      </w:r>
    </w:p>
    <w:p w:rsidR="005A7E71" w:rsidRDefault="005A7E71" w:rsidP="001A092F">
      <w:pPr>
        <w:spacing w:line="360" w:lineRule="auto"/>
        <w:jc w:val="center"/>
      </w:pPr>
    </w:p>
    <w:p w:rsidR="005A7E71" w:rsidRDefault="005A7E71" w:rsidP="005A7E71">
      <w:pPr>
        <w:spacing w:line="360" w:lineRule="auto"/>
        <w:jc w:val="center"/>
      </w:pPr>
      <w:r w:rsidRPr="005A7E71">
        <w:t>EMFF Managing Authority</w:t>
      </w:r>
    </w:p>
    <w:p w:rsidR="005A7E71" w:rsidRDefault="005A7E71" w:rsidP="005A7E71">
      <w:pPr>
        <w:spacing w:line="360" w:lineRule="auto"/>
        <w:jc w:val="center"/>
      </w:pPr>
      <w:r>
        <w:t>Marine Agencies &amp; Programmes Division</w:t>
      </w:r>
    </w:p>
    <w:p w:rsidR="005A7E71" w:rsidRDefault="005A7E71" w:rsidP="005A7E71">
      <w:pPr>
        <w:spacing w:line="360" w:lineRule="auto"/>
        <w:jc w:val="center"/>
      </w:pPr>
      <w:r>
        <w:t>National Seafood Centre</w:t>
      </w:r>
    </w:p>
    <w:p w:rsidR="005A7E71" w:rsidRDefault="005A7E71" w:rsidP="005A7E71">
      <w:pPr>
        <w:spacing w:line="360" w:lineRule="auto"/>
        <w:jc w:val="center"/>
      </w:pPr>
      <w:proofErr w:type="spellStart"/>
      <w:r>
        <w:t>Clonakilty</w:t>
      </w:r>
      <w:proofErr w:type="spellEnd"/>
    </w:p>
    <w:p w:rsidR="005A7E71" w:rsidRDefault="005A7E71" w:rsidP="005A7E71">
      <w:pPr>
        <w:spacing w:line="360" w:lineRule="auto"/>
        <w:jc w:val="center"/>
      </w:pPr>
      <w:r>
        <w:t>Co. Cork</w:t>
      </w:r>
    </w:p>
    <w:p w:rsidR="001A092F" w:rsidRDefault="005A7E71" w:rsidP="005A7E71">
      <w:pPr>
        <w:spacing w:line="360" w:lineRule="auto"/>
        <w:jc w:val="center"/>
      </w:pPr>
      <w:r>
        <w:t>Ireland</w:t>
      </w:r>
    </w:p>
    <w:p w:rsidR="001A092F" w:rsidRDefault="001A092F" w:rsidP="001A092F">
      <w:pPr>
        <w:jc w:val="center"/>
      </w:pPr>
    </w:p>
    <w:p w:rsidR="001A092F" w:rsidRDefault="001A092F" w:rsidP="001A092F">
      <w:pPr>
        <w:jc w:val="center"/>
      </w:pPr>
      <w:r>
        <w:t xml:space="preserve">E-mail: </w:t>
      </w:r>
      <w:hyperlink r:id="rId12" w:history="1">
        <w:r w:rsidRPr="00AD30A3">
          <w:rPr>
            <w:rStyle w:val="Hyperlink"/>
          </w:rPr>
          <w:t>financialinstruments@agriculture.gov.ie</w:t>
        </w:r>
      </w:hyperlink>
    </w:p>
    <w:p w:rsidR="001A092F" w:rsidRDefault="001A092F" w:rsidP="001A092F">
      <w:pPr>
        <w:jc w:val="center"/>
      </w:pPr>
    </w:p>
    <w:p w:rsidR="001A092F" w:rsidRDefault="001A092F" w:rsidP="001A092F">
      <w:pPr>
        <w:jc w:val="center"/>
      </w:pPr>
    </w:p>
    <w:p w:rsidR="001A092F" w:rsidRDefault="001A092F" w:rsidP="001A092F">
      <w:pPr>
        <w:jc w:val="center"/>
      </w:pPr>
      <w:r>
        <w:t xml:space="preserve">Website: </w:t>
      </w:r>
      <w:hyperlink r:id="rId13" w:history="1">
        <w:r w:rsidRPr="007B36E9">
          <w:rPr>
            <w:rStyle w:val="Hyperlink"/>
          </w:rPr>
          <w:t>www.agriculture.gov.ie</w:t>
        </w:r>
      </w:hyperlink>
    </w:p>
    <w:p w:rsidR="001A092F" w:rsidRDefault="001A092F" w:rsidP="001A092F"/>
    <w:p w:rsidR="00A87388" w:rsidRDefault="001A092F">
      <w:pPr>
        <w:ind w:right="-1594"/>
        <w:jc w:val="right"/>
      </w:pPr>
      <w:r>
        <w:br w:type="page"/>
      </w:r>
    </w:p>
    <w:p w:rsidR="006F7613" w:rsidRPr="006F7613" w:rsidRDefault="006F7613" w:rsidP="00F76828">
      <w:pPr>
        <w:pStyle w:val="Default"/>
        <w:spacing w:line="276" w:lineRule="auto"/>
        <w:jc w:val="both"/>
        <w:rPr>
          <w:rFonts w:ascii="Times New Roman" w:hAnsi="Times New Roman" w:cs="Times New Roman"/>
          <w:b/>
        </w:rPr>
      </w:pPr>
      <w:r w:rsidRPr="006F7613">
        <w:rPr>
          <w:rFonts w:ascii="Times New Roman" w:hAnsi="Times New Roman" w:cs="Times New Roman"/>
          <w:b/>
        </w:rPr>
        <w:lastRenderedPageBreak/>
        <w:t>Introduction</w:t>
      </w:r>
    </w:p>
    <w:p w:rsidR="006F7613" w:rsidRDefault="006F7613" w:rsidP="00F76828">
      <w:pPr>
        <w:pStyle w:val="Default"/>
        <w:spacing w:line="276" w:lineRule="auto"/>
        <w:jc w:val="both"/>
        <w:rPr>
          <w:rFonts w:ascii="Times New Roman" w:hAnsi="Times New Roman" w:cs="Times New Roman"/>
        </w:rPr>
      </w:pPr>
    </w:p>
    <w:p w:rsidR="00820CF1" w:rsidRPr="00834662" w:rsidRDefault="00EA2F8B" w:rsidP="00F76828">
      <w:pPr>
        <w:pStyle w:val="Default"/>
        <w:spacing w:line="276" w:lineRule="auto"/>
        <w:jc w:val="both"/>
        <w:rPr>
          <w:rFonts w:ascii="Times New Roman" w:hAnsi="Times New Roman" w:cs="Times New Roman"/>
          <w:bCs/>
          <w:color w:val="auto"/>
        </w:rPr>
      </w:pPr>
      <w:r w:rsidRPr="00834662">
        <w:rPr>
          <w:rFonts w:ascii="Times New Roman" w:hAnsi="Times New Roman" w:cs="Times New Roman"/>
        </w:rPr>
        <w:t>Financial instruments are a form of support which may be made available under the European S</w:t>
      </w:r>
      <w:r w:rsidR="00820CF1" w:rsidRPr="00834662">
        <w:rPr>
          <w:rFonts w:ascii="Times New Roman" w:hAnsi="Times New Roman" w:cs="Times New Roman"/>
        </w:rPr>
        <w:t xml:space="preserve">tructural and Investment Funds. They may be introduced under one or more funds, provided that an ex ante </w:t>
      </w:r>
      <w:r w:rsidRPr="00834662">
        <w:rPr>
          <w:rFonts w:ascii="Times New Roman" w:hAnsi="Times New Roman" w:cs="Times New Roman"/>
        </w:rPr>
        <w:t xml:space="preserve">assessment </w:t>
      </w:r>
      <w:r w:rsidR="00820CF1" w:rsidRPr="00834662">
        <w:rPr>
          <w:rFonts w:ascii="Times New Roman" w:hAnsi="Times New Roman" w:cs="Times New Roman"/>
        </w:rPr>
        <w:t xml:space="preserve">has </w:t>
      </w:r>
      <w:r w:rsidRPr="00834662">
        <w:rPr>
          <w:rFonts w:ascii="Times New Roman" w:hAnsi="Times New Roman" w:cs="Times New Roman"/>
        </w:rPr>
        <w:t>establish</w:t>
      </w:r>
      <w:r w:rsidR="00820CF1" w:rsidRPr="00834662">
        <w:rPr>
          <w:rFonts w:ascii="Times New Roman" w:hAnsi="Times New Roman" w:cs="Times New Roman"/>
        </w:rPr>
        <w:t xml:space="preserve">ed that </w:t>
      </w:r>
      <w:r w:rsidR="00820CF1" w:rsidRPr="00834662">
        <w:rPr>
          <w:rFonts w:ascii="Times New Roman" w:hAnsi="Times New Roman" w:cs="Times New Roman"/>
          <w:color w:val="auto"/>
        </w:rPr>
        <w:t xml:space="preserve">prevalent </w:t>
      </w:r>
      <w:r w:rsidR="00820CF1" w:rsidRPr="00834662">
        <w:rPr>
          <w:rFonts w:ascii="Times New Roman" w:hAnsi="Times New Roman" w:cs="Times New Roman"/>
          <w:bCs/>
          <w:color w:val="auto"/>
        </w:rPr>
        <w:t>market failure or suboptimal investment exists</w:t>
      </w:r>
      <w:r w:rsidR="001948A4" w:rsidRPr="00834662">
        <w:rPr>
          <w:rFonts w:ascii="Times New Roman" w:hAnsi="Times New Roman" w:cs="Times New Roman"/>
          <w:bCs/>
          <w:color w:val="auto"/>
        </w:rPr>
        <w:t>, justifying their introduction</w:t>
      </w:r>
      <w:r w:rsidR="00820CF1" w:rsidRPr="00834662">
        <w:rPr>
          <w:rFonts w:ascii="Times New Roman" w:hAnsi="Times New Roman" w:cs="Times New Roman"/>
          <w:bCs/>
          <w:color w:val="auto"/>
        </w:rPr>
        <w:t xml:space="preserve">. </w:t>
      </w:r>
      <w:r w:rsidR="00820CF1" w:rsidRPr="00834662">
        <w:rPr>
          <w:rFonts w:ascii="Times New Roman" w:hAnsi="Times New Roman" w:cs="Times New Roman"/>
          <w:b/>
          <w:bCs/>
          <w:color w:val="auto"/>
          <w:sz w:val="44"/>
          <w:szCs w:val="44"/>
        </w:rPr>
        <w:t xml:space="preserve"> </w:t>
      </w:r>
    </w:p>
    <w:p w:rsidR="00804263" w:rsidRPr="006F7613" w:rsidRDefault="00804263" w:rsidP="00F76828">
      <w:pPr>
        <w:pStyle w:val="Default"/>
        <w:spacing w:line="276" w:lineRule="auto"/>
        <w:jc w:val="both"/>
        <w:rPr>
          <w:rFonts w:ascii="Times New Roman" w:hAnsi="Times New Roman" w:cs="Times New Roman"/>
          <w:b/>
          <w:bCs/>
          <w:color w:val="auto"/>
        </w:rPr>
      </w:pPr>
    </w:p>
    <w:p w:rsidR="00820CF1" w:rsidRPr="00834662" w:rsidRDefault="00804263" w:rsidP="00F76828">
      <w:pPr>
        <w:pStyle w:val="Default"/>
        <w:spacing w:line="276" w:lineRule="auto"/>
        <w:jc w:val="both"/>
        <w:rPr>
          <w:rFonts w:ascii="Times New Roman" w:hAnsi="Times New Roman" w:cs="Times New Roman"/>
        </w:rPr>
      </w:pPr>
      <w:r w:rsidRPr="00834662">
        <w:rPr>
          <w:rFonts w:ascii="Times New Roman" w:hAnsi="Times New Roman" w:cs="Times New Roman"/>
        </w:rPr>
        <w:t>In</w:t>
      </w:r>
      <w:r w:rsidR="00994EAF" w:rsidRPr="00834662">
        <w:rPr>
          <w:rFonts w:ascii="Times New Roman" w:hAnsi="Times New Roman" w:cs="Times New Roman"/>
        </w:rPr>
        <w:t xml:space="preserve"> order to assess the potential for the introduction of Financial Instruments under the </w:t>
      </w:r>
      <w:hyperlink r:id="rId14" w:history="1">
        <w:r w:rsidR="00994EAF" w:rsidRPr="00570233">
          <w:rPr>
            <w:rStyle w:val="Hyperlink"/>
            <w:rFonts w:ascii="Times New Roman" w:hAnsi="Times New Roman" w:cs="Times New Roman"/>
            <w:color w:val="auto"/>
          </w:rPr>
          <w:t>European Agricultural Fund for Rural Development</w:t>
        </w:r>
      </w:hyperlink>
      <w:r w:rsidR="00994EAF" w:rsidRPr="00570233">
        <w:rPr>
          <w:rFonts w:ascii="Times New Roman" w:hAnsi="Times New Roman" w:cs="Times New Roman"/>
          <w:color w:val="auto"/>
        </w:rPr>
        <w:t xml:space="preserve"> (EAFRD) and   the </w:t>
      </w:r>
      <w:hyperlink r:id="rId15" w:history="1">
        <w:r w:rsidR="00A20245" w:rsidRPr="00570233">
          <w:rPr>
            <w:rStyle w:val="Hyperlink"/>
            <w:rFonts w:ascii="Times New Roman" w:hAnsi="Times New Roman" w:cs="Times New Roman"/>
            <w:color w:val="auto"/>
          </w:rPr>
          <w:t>European Maritime and Fisheries Fund</w:t>
        </w:r>
      </w:hyperlink>
      <w:r w:rsidR="00203BF5">
        <w:rPr>
          <w:rFonts w:ascii="Times New Roman" w:hAnsi="Times New Roman" w:cs="Times New Roman"/>
        </w:rPr>
        <w:t xml:space="preserve"> (EMFF) </w:t>
      </w:r>
      <w:r w:rsidR="00203BF5" w:rsidRPr="00834662">
        <w:rPr>
          <w:rFonts w:ascii="Times New Roman" w:hAnsi="Times New Roman" w:cs="Times New Roman"/>
        </w:rPr>
        <w:t>,</w:t>
      </w:r>
      <w:r w:rsidRPr="00834662">
        <w:rPr>
          <w:rFonts w:ascii="Times New Roman" w:hAnsi="Times New Roman" w:cs="Times New Roman"/>
        </w:rPr>
        <w:t xml:space="preserve"> </w:t>
      </w:r>
      <w:r w:rsidR="00994EAF" w:rsidRPr="00834662">
        <w:rPr>
          <w:rFonts w:ascii="Times New Roman" w:hAnsi="Times New Roman" w:cs="Times New Roman"/>
        </w:rPr>
        <w:t>t</w:t>
      </w:r>
      <w:r w:rsidR="00820CF1" w:rsidRPr="00834662">
        <w:rPr>
          <w:rFonts w:ascii="Times New Roman" w:hAnsi="Times New Roman" w:cs="Times New Roman"/>
        </w:rPr>
        <w:t xml:space="preserve">he Department of Agriculture, Food and the Marine </w:t>
      </w:r>
      <w:r w:rsidR="00203BF5" w:rsidRPr="00834662">
        <w:rPr>
          <w:rFonts w:ascii="Times New Roman" w:hAnsi="Times New Roman" w:cs="Times New Roman"/>
        </w:rPr>
        <w:t>(DAFM</w:t>
      </w:r>
      <w:r w:rsidR="00820CF1" w:rsidRPr="00834662">
        <w:rPr>
          <w:rFonts w:ascii="Times New Roman" w:hAnsi="Times New Roman" w:cs="Times New Roman"/>
        </w:rPr>
        <w:t xml:space="preserve">) commissioned </w:t>
      </w:r>
      <w:proofErr w:type="spellStart"/>
      <w:r w:rsidR="00820CF1" w:rsidRPr="00834662">
        <w:rPr>
          <w:rFonts w:ascii="Times New Roman" w:hAnsi="Times New Roman" w:cs="Times New Roman"/>
        </w:rPr>
        <w:t>Indecon</w:t>
      </w:r>
      <w:proofErr w:type="spellEnd"/>
      <w:r w:rsidR="00820CF1" w:rsidRPr="00834662">
        <w:rPr>
          <w:rFonts w:ascii="Times New Roman" w:hAnsi="Times New Roman" w:cs="Times New Roman"/>
        </w:rPr>
        <w:t xml:space="preserve"> International Economic Consultants to carry out an ex ante </w:t>
      </w:r>
      <w:r w:rsidR="00203BF5" w:rsidRPr="00834662">
        <w:rPr>
          <w:rFonts w:ascii="Times New Roman" w:hAnsi="Times New Roman" w:cs="Times New Roman"/>
        </w:rPr>
        <w:t xml:space="preserve">assessment. </w:t>
      </w:r>
      <w:r w:rsidR="00994EAF" w:rsidRPr="00834662">
        <w:rPr>
          <w:rFonts w:ascii="Times New Roman" w:hAnsi="Times New Roman" w:cs="Times New Roman"/>
        </w:rPr>
        <w:t>This assessment in</w:t>
      </w:r>
      <w:r w:rsidR="00820CF1" w:rsidRPr="00834662">
        <w:rPr>
          <w:rFonts w:ascii="Times New Roman" w:hAnsi="Times New Roman" w:cs="Times New Roman"/>
        </w:rPr>
        <w:t xml:space="preserve">volved a detailed evaluation of access to finance for enterprises in the agriculture and seafood sectors in Ireland. </w:t>
      </w:r>
    </w:p>
    <w:p w:rsidR="00994EAF" w:rsidRDefault="00994EAF" w:rsidP="00F76828">
      <w:pPr>
        <w:spacing w:line="276" w:lineRule="auto"/>
        <w:jc w:val="both"/>
      </w:pPr>
    </w:p>
    <w:p w:rsidR="00A87388" w:rsidRDefault="00834662" w:rsidP="00F76828">
      <w:pPr>
        <w:spacing w:line="276" w:lineRule="auto"/>
        <w:jc w:val="both"/>
      </w:pPr>
      <w:r>
        <w:t xml:space="preserve">The ex ante assessment has been finalised </w:t>
      </w:r>
      <w:r w:rsidR="00994EAF">
        <w:t xml:space="preserve">and </w:t>
      </w:r>
      <w:r>
        <w:t>recommends</w:t>
      </w:r>
      <w:r w:rsidR="001C5752">
        <w:t xml:space="preserve"> the introduction of a Financial Instrument, covering both Funds. The </w:t>
      </w:r>
      <w:r w:rsidR="00994EAF">
        <w:t>views of stakeholder</w:t>
      </w:r>
      <w:r>
        <w:t>s</w:t>
      </w:r>
      <w:r w:rsidR="00994EAF">
        <w:t xml:space="preserve"> are </w:t>
      </w:r>
      <w:r w:rsidR="001C5752">
        <w:t xml:space="preserve">now </w:t>
      </w:r>
      <w:r w:rsidR="00994EAF">
        <w:t xml:space="preserve">being sought </w:t>
      </w:r>
      <w:r w:rsidR="001C5752">
        <w:t>on this proposal so that an informed decision may be made on whether to introduce the proposed Financial Instrument.</w:t>
      </w:r>
    </w:p>
    <w:p w:rsidR="00834662" w:rsidRDefault="00834662" w:rsidP="00F76828">
      <w:pPr>
        <w:spacing w:line="276" w:lineRule="auto"/>
        <w:jc w:val="both"/>
      </w:pPr>
    </w:p>
    <w:p w:rsidR="00834662" w:rsidRDefault="00834662" w:rsidP="00F76828">
      <w:pPr>
        <w:spacing w:line="276" w:lineRule="auto"/>
        <w:jc w:val="both"/>
      </w:pPr>
      <w:r>
        <w:t>The ex ante assessment is published and available on the Department of Agriculture, Food and the Marine’</w:t>
      </w:r>
      <w:r w:rsidR="00203BF5">
        <w:t>s website at the following link</w:t>
      </w:r>
      <w:r>
        <w:t>:</w:t>
      </w:r>
      <w:r w:rsidR="00203BF5">
        <w:t xml:space="preserve"> </w:t>
      </w:r>
      <w:hyperlink r:id="rId16" w:history="1">
        <w:r w:rsidR="00FB2E53" w:rsidRPr="008D1AEC">
          <w:rPr>
            <w:rStyle w:val="Hyperlink"/>
          </w:rPr>
          <w:t>https://www.agriculture.gov.ie/ruralenvironment/ruraldevelopmentprogrammerdp2014-2020/</w:t>
        </w:r>
      </w:hyperlink>
      <w:r w:rsidR="00FB2E53">
        <w:t xml:space="preserve"> </w:t>
      </w:r>
    </w:p>
    <w:p w:rsidR="001C5752" w:rsidRDefault="001C5752" w:rsidP="00F76828">
      <w:pPr>
        <w:spacing w:line="276" w:lineRule="auto"/>
        <w:jc w:val="both"/>
        <w:rPr>
          <w:b/>
        </w:rPr>
      </w:pPr>
    </w:p>
    <w:p w:rsidR="00A87388" w:rsidRPr="003A6FC2" w:rsidRDefault="003A6FC2" w:rsidP="00F76828">
      <w:pPr>
        <w:spacing w:line="276" w:lineRule="auto"/>
        <w:jc w:val="both"/>
        <w:rPr>
          <w:b/>
        </w:rPr>
      </w:pPr>
      <w:r w:rsidRPr="003A6FC2">
        <w:rPr>
          <w:b/>
        </w:rPr>
        <w:t>Background</w:t>
      </w:r>
    </w:p>
    <w:p w:rsidR="00A87388" w:rsidRPr="00D2532C" w:rsidRDefault="00A87388" w:rsidP="00F76828">
      <w:pPr>
        <w:spacing w:line="276" w:lineRule="auto"/>
        <w:jc w:val="both"/>
        <w:rPr>
          <w:color w:val="FF0000"/>
        </w:rPr>
      </w:pPr>
    </w:p>
    <w:p w:rsidR="003A6FC2" w:rsidRDefault="003A6FC2" w:rsidP="00F76828">
      <w:pPr>
        <w:spacing w:after="200" w:line="276" w:lineRule="auto"/>
        <w:jc w:val="both"/>
        <w:rPr>
          <w:i/>
          <w:lang w:eastAsia="en-IE"/>
        </w:rPr>
      </w:pPr>
      <w:r>
        <w:rPr>
          <w:lang w:eastAsia="en-IE"/>
        </w:rPr>
        <w:t>In the past EU market intervention and investment in agriculture and seafood has typically occurred in the form of grants and subsidies. However, economic difficulties experienced in Europe post-2008 have led to a re-evaluation of such practices. The economic constraints of individual member state budgets have fed through to the EU’s budget, the Multiannual Financial Framework (MFF) 2014-2020. Therefore, various European institutions have sought more effective leverage of the five European Structural and Investment Funds (ESIF). Financial Instruments are one proposed method of alternative intervention. A Financial Instrument (FI) is defined under Article 2 (p) Regulation (EU/</w:t>
      </w:r>
      <w:proofErr w:type="spellStart"/>
      <w:r>
        <w:rPr>
          <w:lang w:eastAsia="en-IE"/>
        </w:rPr>
        <w:t>Euratom</w:t>
      </w:r>
      <w:proofErr w:type="spellEnd"/>
      <w:r>
        <w:rPr>
          <w:lang w:eastAsia="en-IE"/>
        </w:rPr>
        <w:t xml:space="preserve">) no 966/2012 as a </w:t>
      </w:r>
      <w:r>
        <w:rPr>
          <w:i/>
          <w:lang w:eastAsia="en-IE"/>
        </w:rPr>
        <w:t xml:space="preserve">“Union measure of financial support provided on a complementary basis from the budget in order to address one or more specific policy objectives of the Union. Such instruments may take the form of equity or quasi-equity investments, loans or guarantees, or other risk sharing instruments, and may, where appropriate, be combined with grants”. </w:t>
      </w:r>
    </w:p>
    <w:p w:rsidR="003A6FC2" w:rsidRDefault="003A6FC2" w:rsidP="00F76828">
      <w:pPr>
        <w:spacing w:after="200" w:line="276" w:lineRule="auto"/>
        <w:jc w:val="both"/>
        <w:rPr>
          <w:lang w:eastAsia="en-IE"/>
        </w:rPr>
      </w:pPr>
      <w:r>
        <w:rPr>
          <w:lang w:eastAsia="en-IE"/>
        </w:rPr>
        <w:t xml:space="preserve">Financial Instruments or revolving forms of finance allow funds such as the ESIF to make more effective and sustainable use of limited funding. These Financial Instruments occur in a number of formats (e.g. loans, investments and guarantees) and may be combined with private resources. In the case of guarantees, the ESIF may opt to guarantee a percentage of a loan, thereby reducing risk to private entities and </w:t>
      </w:r>
      <w:r>
        <w:rPr>
          <w:lang w:eastAsia="en-IE"/>
        </w:rPr>
        <w:lastRenderedPageBreak/>
        <w:t>lowering the cost of credit to applicants. By using funds in this manner it is possible to leverage funds a number of times, to expand their impact, while reducing reliance on grant aid.</w:t>
      </w:r>
    </w:p>
    <w:p w:rsidR="003A6FC2" w:rsidRDefault="003A6FC2" w:rsidP="00F76828">
      <w:pPr>
        <w:spacing w:after="200" w:line="276" w:lineRule="auto"/>
        <w:jc w:val="both"/>
        <w:rPr>
          <w:lang w:eastAsia="en-IE"/>
        </w:rPr>
      </w:pPr>
      <w:r>
        <w:rPr>
          <w:lang w:eastAsia="en-IE"/>
        </w:rPr>
        <w:t>An ex-ante-assessment for financial instruments is compulsory under the Common Provision Regulation (CPR) 1303/2013</w:t>
      </w:r>
      <w:r>
        <w:rPr>
          <w:vertAlign w:val="superscript"/>
          <w:lang w:eastAsia="en-IE"/>
        </w:rPr>
        <w:footnoteReference w:id="1"/>
      </w:r>
      <w:r>
        <w:rPr>
          <w:lang w:eastAsia="en-IE"/>
        </w:rPr>
        <w:t>. The introduction of mandatory ex-ante assessments is aimed at ensuring sound evidence-based decision-making on the part of the Operation</w:t>
      </w:r>
      <w:r w:rsidR="004478E6">
        <w:rPr>
          <w:lang w:eastAsia="en-IE"/>
        </w:rPr>
        <w:t>al Programme Managing Authority in t</w:t>
      </w:r>
      <w:r w:rsidRPr="003A6FC2">
        <w:rPr>
          <w:lang w:eastAsia="en-IE"/>
        </w:rPr>
        <w:t>erms of use of financial instruments.</w:t>
      </w:r>
    </w:p>
    <w:p w:rsidR="003A6FC2" w:rsidRDefault="003A6FC2" w:rsidP="00F76828">
      <w:pPr>
        <w:spacing w:after="200" w:line="276" w:lineRule="auto"/>
        <w:jc w:val="both"/>
        <w:rPr>
          <w:lang w:eastAsia="en-IE"/>
        </w:rPr>
      </w:pPr>
      <w:r>
        <w:rPr>
          <w:lang w:eastAsia="en-IE"/>
        </w:rPr>
        <w:t>If it is envisaged that more than one FI, across a number of ESI Funds, will be launched at the same time, the work can be combined in one ex-ante assessment as long as it includes different bundles of assessments taking into account the specificities of each of the Operational Programme(s) in question, therefore providing specific conclusions at the level of each Programme contributing to the FI(s).</w:t>
      </w:r>
    </w:p>
    <w:p w:rsidR="0091714D" w:rsidRDefault="003A6FC2" w:rsidP="00203BF5">
      <w:pPr>
        <w:spacing w:after="200" w:line="276" w:lineRule="auto"/>
        <w:jc w:val="both"/>
        <w:rPr>
          <w:lang w:eastAsia="en-IE"/>
        </w:rPr>
      </w:pPr>
      <w:r>
        <w:rPr>
          <w:lang w:eastAsia="en-IE"/>
        </w:rPr>
        <w:t>Once an ex-ante assessment is complete a decision can be made on whether or not to implement a FI. If a decision is made to proceed with FIs then an agreement must b</w:t>
      </w:r>
      <w:r w:rsidR="004478E6">
        <w:rPr>
          <w:lang w:eastAsia="en-IE"/>
        </w:rPr>
        <w:t xml:space="preserve">e reached between the Managing Authority and </w:t>
      </w:r>
      <w:r w:rsidR="009F6CC6">
        <w:rPr>
          <w:lang w:eastAsia="en-IE"/>
        </w:rPr>
        <w:t>o</w:t>
      </w:r>
      <w:r w:rsidR="004478E6">
        <w:rPr>
          <w:lang w:eastAsia="en-IE"/>
        </w:rPr>
        <w:t>th</w:t>
      </w:r>
      <w:r>
        <w:rPr>
          <w:lang w:eastAsia="en-IE"/>
        </w:rPr>
        <w:t>er potential stakeholders/financial institutions on a clear investment strategy that is developed from the gaps, if any, identified in the ex-ante assessment.  Following this, an appropriate amendment would have to be made to an Operational Programme</w:t>
      </w:r>
      <w:r w:rsidR="004478E6">
        <w:rPr>
          <w:lang w:eastAsia="en-IE"/>
        </w:rPr>
        <w:t>(s).</w:t>
      </w:r>
    </w:p>
    <w:p w:rsidR="001C17AF" w:rsidRDefault="001C17AF" w:rsidP="00F76828">
      <w:pPr>
        <w:pStyle w:val="ListParagraph"/>
        <w:suppressAutoHyphens/>
        <w:spacing w:after="120"/>
        <w:ind w:left="0"/>
        <w:jc w:val="both"/>
        <w:rPr>
          <w:rFonts w:ascii="Times New Roman" w:eastAsia="Times New Roman" w:hAnsi="Times New Roman"/>
          <w:b/>
          <w:sz w:val="24"/>
          <w:szCs w:val="24"/>
          <w:lang w:eastAsia="en-IE"/>
        </w:rPr>
      </w:pPr>
      <w:r w:rsidRPr="00203BF5">
        <w:rPr>
          <w:rFonts w:ascii="Times New Roman" w:eastAsia="Times New Roman" w:hAnsi="Times New Roman"/>
          <w:b/>
          <w:sz w:val="24"/>
          <w:szCs w:val="24"/>
          <w:lang w:eastAsia="en-IE"/>
        </w:rPr>
        <w:t xml:space="preserve">Summary Ex-Ante Assessment </w:t>
      </w:r>
      <w:r w:rsidR="0091714D" w:rsidRPr="00203BF5">
        <w:rPr>
          <w:rFonts w:ascii="Times New Roman" w:eastAsia="Times New Roman" w:hAnsi="Times New Roman"/>
          <w:b/>
          <w:sz w:val="24"/>
          <w:szCs w:val="24"/>
          <w:lang w:eastAsia="en-IE"/>
        </w:rPr>
        <w:t xml:space="preserve">Findings </w:t>
      </w:r>
    </w:p>
    <w:p w:rsidR="00203BF5" w:rsidRPr="00203BF5" w:rsidRDefault="00203BF5" w:rsidP="00F76828">
      <w:pPr>
        <w:pStyle w:val="ListParagraph"/>
        <w:suppressAutoHyphens/>
        <w:spacing w:after="120"/>
        <w:ind w:left="0"/>
        <w:jc w:val="both"/>
        <w:rPr>
          <w:rFonts w:ascii="Times New Roman" w:eastAsia="Times New Roman" w:hAnsi="Times New Roman"/>
          <w:b/>
          <w:sz w:val="24"/>
          <w:szCs w:val="24"/>
          <w:lang w:eastAsia="en-IE"/>
        </w:rPr>
      </w:pP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b/>
          <w:sz w:val="24"/>
          <w:szCs w:val="24"/>
          <w:lang w:eastAsia="en-IE"/>
        </w:rPr>
      </w:pPr>
      <w:r w:rsidRPr="001C17AF">
        <w:rPr>
          <w:rFonts w:ascii="Times New Roman" w:eastAsia="Times New Roman" w:hAnsi="Times New Roman"/>
          <w:sz w:val="24"/>
          <w:szCs w:val="24"/>
          <w:lang w:eastAsia="en-IE"/>
        </w:rPr>
        <w:t xml:space="preserve">The agriculture and seafood sectors face higher output price volatility than many other sectors. This represents a source of uncertainty for financial institutions evaluating lending applications to support investments in these sectors. An additional source of uncertainty arises from the potential impacts of </w:t>
      </w:r>
      <w:proofErr w:type="spellStart"/>
      <w:r w:rsidRPr="001C17AF">
        <w:rPr>
          <w:rFonts w:ascii="Times New Roman" w:eastAsia="Times New Roman" w:hAnsi="Times New Roman"/>
          <w:sz w:val="24"/>
          <w:szCs w:val="24"/>
          <w:lang w:eastAsia="en-IE"/>
        </w:rPr>
        <w:t>Brexit</w:t>
      </w:r>
      <w:proofErr w:type="spellEnd"/>
      <w:r w:rsidRPr="001C17AF">
        <w:rPr>
          <w:rFonts w:ascii="Times New Roman" w:eastAsia="Times New Roman" w:hAnsi="Times New Roman"/>
          <w:sz w:val="24"/>
          <w:szCs w:val="24"/>
          <w:lang w:eastAsia="en-IE"/>
        </w:rPr>
        <w:t xml:space="preserve"> on key markets for agricultural and seafood exports.</w:t>
      </w:r>
    </w:p>
    <w:p w:rsidR="001C17AF"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 xml:space="preserve">The agricultural representative bodies consulted by </w:t>
      </w:r>
      <w:proofErr w:type="spellStart"/>
      <w:r w:rsidRPr="001C17AF">
        <w:rPr>
          <w:rFonts w:ascii="Times New Roman" w:eastAsia="Times New Roman" w:hAnsi="Times New Roman"/>
          <w:sz w:val="24"/>
          <w:szCs w:val="24"/>
          <w:lang w:eastAsia="en-IE"/>
        </w:rPr>
        <w:t>Indecon</w:t>
      </w:r>
      <w:proofErr w:type="spellEnd"/>
      <w:r w:rsidRPr="001C17AF">
        <w:rPr>
          <w:rFonts w:ascii="Times New Roman" w:eastAsia="Times New Roman" w:hAnsi="Times New Roman"/>
          <w:sz w:val="24"/>
          <w:szCs w:val="24"/>
          <w:lang w:eastAsia="en-IE"/>
        </w:rPr>
        <w:t xml:space="preserve"> supported the finding that there were restrictions on access to finance in the agriculture sector and, in particular, for younger farmers. </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 xml:space="preserve">The representative organisation for the fish processing sector also suggested that credit access is a challenge for the seafood sector and that EMFF backed financial instruments have a role to play in overcoming this challenge.  </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The independent Credit Review Office also assessed that there were market failures in the provision of finance for the agriculture and seafood sectors</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proofErr w:type="spellStart"/>
      <w:r w:rsidRPr="001C17AF">
        <w:rPr>
          <w:rFonts w:ascii="Times New Roman" w:eastAsia="Times New Roman" w:hAnsi="Times New Roman"/>
          <w:sz w:val="24"/>
          <w:szCs w:val="24"/>
          <w:lang w:eastAsia="en-IE"/>
        </w:rPr>
        <w:t>Indecon’s</w:t>
      </w:r>
      <w:proofErr w:type="spellEnd"/>
      <w:r w:rsidRPr="001C17AF">
        <w:rPr>
          <w:rFonts w:ascii="Times New Roman" w:eastAsia="Times New Roman" w:hAnsi="Times New Roman"/>
          <w:sz w:val="24"/>
          <w:szCs w:val="24"/>
          <w:lang w:eastAsia="en-IE"/>
        </w:rPr>
        <w:t xml:space="preserve"> modelling estimates, based on </w:t>
      </w:r>
      <w:r w:rsidR="005201E5">
        <w:rPr>
          <w:rFonts w:ascii="Times New Roman" w:eastAsia="Times New Roman" w:hAnsi="Times New Roman"/>
          <w:sz w:val="24"/>
          <w:szCs w:val="24"/>
          <w:lang w:eastAsia="en-IE"/>
        </w:rPr>
        <w:t xml:space="preserve">anticipated </w:t>
      </w:r>
      <w:r w:rsidRPr="001C17AF">
        <w:rPr>
          <w:rFonts w:ascii="Times New Roman" w:eastAsia="Times New Roman" w:hAnsi="Times New Roman"/>
          <w:sz w:val="24"/>
          <w:szCs w:val="24"/>
          <w:lang w:eastAsia="en-IE"/>
        </w:rPr>
        <w:t xml:space="preserve">output values in </w:t>
      </w:r>
      <w:proofErr w:type="spellStart"/>
      <w:r w:rsidRPr="001C17AF">
        <w:rPr>
          <w:rFonts w:ascii="Times New Roman" w:eastAsia="Times New Roman" w:hAnsi="Times New Roman"/>
          <w:sz w:val="24"/>
          <w:szCs w:val="24"/>
          <w:lang w:eastAsia="en-IE"/>
        </w:rPr>
        <w:t>Foodwise</w:t>
      </w:r>
      <w:proofErr w:type="spellEnd"/>
      <w:r w:rsidRPr="001C17AF">
        <w:rPr>
          <w:rFonts w:ascii="Times New Roman" w:eastAsia="Times New Roman" w:hAnsi="Times New Roman"/>
          <w:sz w:val="24"/>
          <w:szCs w:val="24"/>
          <w:lang w:eastAsia="en-IE"/>
        </w:rPr>
        <w:t xml:space="preserve"> 2025</w:t>
      </w:r>
      <w:r w:rsidR="005201E5" w:rsidRPr="001C17AF">
        <w:rPr>
          <w:rFonts w:ascii="Times New Roman" w:eastAsia="Times New Roman" w:hAnsi="Times New Roman"/>
          <w:sz w:val="24"/>
          <w:szCs w:val="24"/>
          <w:lang w:eastAsia="en-IE"/>
        </w:rPr>
        <w:t>, indicate</w:t>
      </w:r>
      <w:r w:rsidRPr="001C17AF">
        <w:rPr>
          <w:rFonts w:ascii="Times New Roman" w:eastAsia="Times New Roman" w:hAnsi="Times New Roman"/>
          <w:sz w:val="24"/>
          <w:szCs w:val="24"/>
          <w:lang w:eastAsia="en-IE"/>
        </w:rPr>
        <w:t xml:space="preserve"> a potential funding gap for capital investment in agriculture of around €105 million in 2016 and that this could rise to nearly €350 million by 2025 if the sector expands in line with national targets.</w:t>
      </w:r>
    </w:p>
    <w:p w:rsidR="0091714D" w:rsidRPr="00F36777"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proofErr w:type="spellStart"/>
      <w:r w:rsidRPr="00F36777">
        <w:rPr>
          <w:rFonts w:ascii="Times New Roman" w:eastAsia="Times New Roman" w:hAnsi="Times New Roman"/>
          <w:sz w:val="24"/>
          <w:szCs w:val="24"/>
          <w:lang w:eastAsia="en-IE"/>
        </w:rPr>
        <w:t>Indecon’s</w:t>
      </w:r>
      <w:proofErr w:type="spellEnd"/>
      <w:r w:rsidRPr="00F36777">
        <w:rPr>
          <w:rFonts w:ascii="Times New Roman" w:eastAsia="Times New Roman" w:hAnsi="Times New Roman"/>
          <w:sz w:val="24"/>
          <w:szCs w:val="24"/>
          <w:lang w:eastAsia="en-IE"/>
        </w:rPr>
        <w:t xml:space="preserve"> modelling estimates</w:t>
      </w:r>
      <w:r w:rsidR="00A20245" w:rsidRPr="00F36777">
        <w:rPr>
          <w:rFonts w:ascii="Times New Roman" w:eastAsia="Times New Roman" w:hAnsi="Times New Roman"/>
          <w:sz w:val="24"/>
          <w:szCs w:val="24"/>
          <w:lang w:eastAsia="en-IE"/>
        </w:rPr>
        <w:t xml:space="preserve"> for the seafood sector</w:t>
      </w:r>
      <w:r w:rsidR="006F7613" w:rsidRPr="00F36777">
        <w:rPr>
          <w:rFonts w:ascii="Times New Roman" w:eastAsia="Times New Roman" w:hAnsi="Times New Roman"/>
          <w:sz w:val="24"/>
          <w:szCs w:val="24"/>
          <w:lang w:eastAsia="en-IE"/>
        </w:rPr>
        <w:t xml:space="preserve"> </w:t>
      </w:r>
      <w:r w:rsidRPr="00F36777">
        <w:rPr>
          <w:rFonts w:ascii="Times New Roman" w:eastAsia="Times New Roman" w:hAnsi="Times New Roman"/>
          <w:sz w:val="24"/>
          <w:szCs w:val="24"/>
          <w:lang w:eastAsia="en-IE"/>
        </w:rPr>
        <w:t xml:space="preserve">suggest a potential financing gap of over €20 million in the seafood </w:t>
      </w:r>
      <w:r w:rsidR="00A20245" w:rsidRPr="00F36777">
        <w:rPr>
          <w:rFonts w:ascii="Times New Roman" w:eastAsia="Times New Roman" w:hAnsi="Times New Roman"/>
          <w:sz w:val="24"/>
          <w:szCs w:val="24"/>
          <w:lang w:eastAsia="en-IE"/>
        </w:rPr>
        <w:t xml:space="preserve">processing and aquaculture </w:t>
      </w:r>
      <w:r w:rsidRPr="00F36777">
        <w:rPr>
          <w:rFonts w:ascii="Times New Roman" w:eastAsia="Times New Roman" w:hAnsi="Times New Roman"/>
          <w:sz w:val="24"/>
          <w:szCs w:val="24"/>
          <w:lang w:eastAsia="en-IE"/>
        </w:rPr>
        <w:t>sector</w:t>
      </w:r>
      <w:r w:rsidR="00A20245" w:rsidRPr="00F36777">
        <w:rPr>
          <w:rFonts w:ascii="Times New Roman" w:eastAsia="Times New Roman" w:hAnsi="Times New Roman"/>
          <w:sz w:val="24"/>
          <w:szCs w:val="24"/>
          <w:lang w:eastAsia="en-IE"/>
        </w:rPr>
        <w:t>s</w:t>
      </w:r>
      <w:r w:rsidRPr="00F36777">
        <w:rPr>
          <w:rFonts w:ascii="Times New Roman" w:eastAsia="Times New Roman" w:hAnsi="Times New Roman"/>
          <w:sz w:val="24"/>
          <w:szCs w:val="24"/>
          <w:lang w:eastAsia="en-IE"/>
        </w:rPr>
        <w:t xml:space="preserve">, rising to around €42 million by 2025. </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The challenges faced by agricultural and seafood enterprises in accessing capital are likely to be related to the capital constraints facing the Irish banking sector following the financial crisis which occurred in the Irish economy and international banking markets.</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 xml:space="preserve">There is evidence of higher interest rates faced by enterprises in the agricultural and seafood sectors relative to those charged to enterprises in other sectors of the Irish economy.  Irish enterprises in these sectors also face higher interest rates relative to the prevailing rates in other EU Member States. </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Survey evidence suggests that a significant reason for banks refusing loan applications was a lack of borrower credit history. This represents an information asymmetry between the potential borrower and the lender.</w:t>
      </w:r>
    </w:p>
    <w:p w:rsidR="0091714D" w:rsidRPr="001C17AF" w:rsidRDefault="0091714D" w:rsidP="00F76828">
      <w:pPr>
        <w:pStyle w:val="ListParagraph"/>
        <w:numPr>
          <w:ilvl w:val="0"/>
          <w:numId w:val="14"/>
        </w:numPr>
        <w:suppressAutoHyphens/>
        <w:spacing w:after="120"/>
        <w:ind w:left="0" w:hanging="567"/>
        <w:jc w:val="both"/>
        <w:rPr>
          <w:rFonts w:ascii="Times New Roman" w:eastAsia="Times New Roman" w:hAnsi="Times New Roman"/>
          <w:sz w:val="24"/>
          <w:szCs w:val="24"/>
          <w:lang w:eastAsia="en-IE"/>
        </w:rPr>
      </w:pPr>
      <w:r w:rsidRPr="001C17AF">
        <w:rPr>
          <w:rFonts w:ascii="Times New Roman" w:eastAsia="Times New Roman" w:hAnsi="Times New Roman"/>
          <w:sz w:val="24"/>
          <w:szCs w:val="24"/>
          <w:lang w:eastAsia="en-IE"/>
        </w:rPr>
        <w:t xml:space="preserve">The absence of sufficient collateral by </w:t>
      </w:r>
      <w:r w:rsidRPr="00B716D2">
        <w:rPr>
          <w:rFonts w:ascii="Times New Roman" w:eastAsia="Times New Roman" w:hAnsi="Times New Roman"/>
          <w:sz w:val="24"/>
          <w:szCs w:val="24"/>
          <w:lang w:eastAsia="en-IE"/>
        </w:rPr>
        <w:t>SMEs</w:t>
      </w:r>
      <w:r w:rsidRPr="001C17AF">
        <w:rPr>
          <w:rFonts w:ascii="Times New Roman" w:eastAsia="Times New Roman" w:hAnsi="Times New Roman"/>
          <w:sz w:val="24"/>
          <w:szCs w:val="24"/>
          <w:lang w:eastAsia="en-IE"/>
        </w:rPr>
        <w:t xml:space="preserve"> in the </w:t>
      </w:r>
      <w:proofErr w:type="spellStart"/>
      <w:r w:rsidRPr="001C17AF">
        <w:rPr>
          <w:rFonts w:ascii="Times New Roman" w:eastAsia="Times New Roman" w:hAnsi="Times New Roman"/>
          <w:sz w:val="24"/>
          <w:szCs w:val="24"/>
          <w:lang w:eastAsia="en-IE"/>
        </w:rPr>
        <w:t>agri</w:t>
      </w:r>
      <w:proofErr w:type="spellEnd"/>
      <w:r w:rsidRPr="001C17AF">
        <w:rPr>
          <w:rFonts w:ascii="Times New Roman" w:eastAsia="Times New Roman" w:hAnsi="Times New Roman"/>
          <w:sz w:val="24"/>
          <w:szCs w:val="24"/>
          <w:lang w:eastAsia="en-IE"/>
        </w:rPr>
        <w:t xml:space="preserve"> and seafood sectors is likely to impact on the willingness of institutions to lend to these enterprises. For some </w:t>
      </w:r>
      <w:proofErr w:type="spellStart"/>
      <w:r w:rsidRPr="001C17AF">
        <w:rPr>
          <w:rFonts w:ascii="Times New Roman" w:eastAsia="Times New Roman" w:hAnsi="Times New Roman"/>
          <w:sz w:val="24"/>
          <w:szCs w:val="24"/>
          <w:lang w:eastAsia="en-IE"/>
        </w:rPr>
        <w:t>agri</w:t>
      </w:r>
      <w:proofErr w:type="spellEnd"/>
      <w:r w:rsidRPr="001C17AF">
        <w:rPr>
          <w:rFonts w:ascii="Times New Roman" w:eastAsia="Times New Roman" w:hAnsi="Times New Roman"/>
          <w:sz w:val="24"/>
          <w:szCs w:val="24"/>
          <w:lang w:eastAsia="en-IE"/>
        </w:rPr>
        <w:t xml:space="preserve"> and seafood enterprises, the difficulty of separating principal private residences from businesses is also an issue. </w:t>
      </w:r>
    </w:p>
    <w:p w:rsidR="0091714D" w:rsidRPr="009F6CC6" w:rsidRDefault="0091714D" w:rsidP="00F76828">
      <w:pPr>
        <w:pStyle w:val="ListParagraph"/>
        <w:suppressAutoHyphens/>
        <w:spacing w:after="120"/>
        <w:ind w:left="0" w:hanging="567"/>
        <w:jc w:val="both"/>
        <w:rPr>
          <w:rFonts w:ascii="Times New Roman" w:eastAsia="Times New Roman" w:hAnsi="Times New Roman"/>
          <w:sz w:val="24"/>
          <w:szCs w:val="24"/>
          <w:lang w:eastAsia="en-IE"/>
        </w:rPr>
      </w:pPr>
    </w:p>
    <w:p w:rsidR="00283706" w:rsidRPr="00203BF5" w:rsidRDefault="00283706" w:rsidP="00F76828">
      <w:pPr>
        <w:spacing w:line="276" w:lineRule="auto"/>
        <w:jc w:val="both"/>
        <w:rPr>
          <w:b/>
        </w:rPr>
      </w:pPr>
      <w:r w:rsidRPr="00203BF5">
        <w:rPr>
          <w:b/>
        </w:rPr>
        <w:t xml:space="preserve">Summary of Recommendations </w:t>
      </w:r>
      <w:r w:rsidR="001C17AF" w:rsidRPr="00203BF5">
        <w:rPr>
          <w:b/>
        </w:rPr>
        <w:t>and Proposed Investment Strategy</w:t>
      </w:r>
    </w:p>
    <w:p w:rsidR="00203BF5" w:rsidRDefault="00203BF5" w:rsidP="00F76828">
      <w:pPr>
        <w:spacing w:line="276" w:lineRule="auto"/>
        <w:jc w:val="both"/>
        <w:rPr>
          <w:b/>
          <w:u w:val="single"/>
        </w:rPr>
      </w:pPr>
    </w:p>
    <w:p w:rsidR="00283706" w:rsidRPr="00F36777" w:rsidRDefault="00283706" w:rsidP="00F76828">
      <w:pPr>
        <w:pStyle w:val="ListParagraph"/>
        <w:numPr>
          <w:ilvl w:val="0"/>
          <w:numId w:val="5"/>
        </w:numPr>
        <w:suppressAutoHyphens/>
        <w:spacing w:after="120"/>
        <w:ind w:left="0" w:hanging="426"/>
        <w:jc w:val="both"/>
        <w:rPr>
          <w:rFonts w:ascii="Times New Roman" w:hAnsi="Times New Roman"/>
          <w:sz w:val="24"/>
          <w:szCs w:val="24"/>
        </w:rPr>
      </w:pPr>
      <w:proofErr w:type="spellStart"/>
      <w:r w:rsidRPr="00147FFC">
        <w:rPr>
          <w:rFonts w:ascii="Times New Roman" w:hAnsi="Times New Roman"/>
          <w:sz w:val="24"/>
          <w:szCs w:val="24"/>
        </w:rPr>
        <w:t>Indecon</w:t>
      </w:r>
      <w:proofErr w:type="spellEnd"/>
      <w:r w:rsidRPr="00147FFC">
        <w:rPr>
          <w:rFonts w:ascii="Times New Roman" w:hAnsi="Times New Roman"/>
          <w:sz w:val="24"/>
          <w:szCs w:val="24"/>
        </w:rPr>
        <w:t xml:space="preserve"> recommends </w:t>
      </w:r>
      <w:r w:rsidR="0063513D">
        <w:rPr>
          <w:rFonts w:ascii="Times New Roman" w:hAnsi="Times New Roman"/>
          <w:sz w:val="24"/>
          <w:szCs w:val="24"/>
        </w:rPr>
        <w:t xml:space="preserve">that </w:t>
      </w:r>
      <w:r w:rsidRPr="00147FFC">
        <w:rPr>
          <w:rFonts w:ascii="Times New Roman" w:hAnsi="Times New Roman"/>
          <w:sz w:val="24"/>
          <w:szCs w:val="24"/>
        </w:rPr>
        <w:t xml:space="preserve">the Managing </w:t>
      </w:r>
      <w:r w:rsidR="0063513D">
        <w:rPr>
          <w:rFonts w:ascii="Times New Roman" w:hAnsi="Times New Roman"/>
          <w:sz w:val="24"/>
          <w:szCs w:val="24"/>
        </w:rPr>
        <w:t xml:space="preserve">Authorities for the two funds </w:t>
      </w:r>
      <w:r w:rsidRPr="00147FFC">
        <w:rPr>
          <w:rFonts w:ascii="Times New Roman" w:hAnsi="Times New Roman"/>
          <w:sz w:val="24"/>
          <w:szCs w:val="24"/>
        </w:rPr>
        <w:t xml:space="preserve">should introduce, on a pilot basis, a Financial Instrument for the agricultural and </w:t>
      </w:r>
      <w:r w:rsidRPr="00F36777">
        <w:rPr>
          <w:rFonts w:ascii="Times New Roman" w:hAnsi="Times New Roman"/>
          <w:sz w:val="24"/>
          <w:szCs w:val="24"/>
        </w:rPr>
        <w:t xml:space="preserve">seafood sectors involving partial loan guarantees and interest subsidies. </w:t>
      </w:r>
    </w:p>
    <w:p w:rsidR="00283706" w:rsidRPr="005A7E71" w:rsidRDefault="00283706" w:rsidP="00F76828">
      <w:pPr>
        <w:pStyle w:val="ListParagraph"/>
        <w:numPr>
          <w:ilvl w:val="0"/>
          <w:numId w:val="5"/>
        </w:numPr>
        <w:suppressAutoHyphens/>
        <w:spacing w:after="120"/>
        <w:ind w:left="0"/>
        <w:jc w:val="both"/>
        <w:rPr>
          <w:rFonts w:ascii="Times New Roman" w:hAnsi="Times New Roman"/>
          <w:sz w:val="24"/>
          <w:szCs w:val="24"/>
        </w:rPr>
      </w:pPr>
      <w:r w:rsidRPr="005A7E71">
        <w:rPr>
          <w:rFonts w:ascii="Times New Roman" w:hAnsi="Times New Roman"/>
          <w:sz w:val="24"/>
          <w:szCs w:val="24"/>
        </w:rPr>
        <w:t xml:space="preserve">This FI, in </w:t>
      </w:r>
      <w:proofErr w:type="spellStart"/>
      <w:r w:rsidRPr="005A7E71">
        <w:rPr>
          <w:rFonts w:ascii="Times New Roman" w:hAnsi="Times New Roman"/>
          <w:sz w:val="24"/>
          <w:szCs w:val="24"/>
        </w:rPr>
        <w:t>Indecon’s</w:t>
      </w:r>
      <w:proofErr w:type="spellEnd"/>
      <w:r w:rsidRPr="005A7E71">
        <w:rPr>
          <w:rFonts w:ascii="Times New Roman" w:hAnsi="Times New Roman"/>
          <w:sz w:val="24"/>
          <w:szCs w:val="24"/>
        </w:rPr>
        <w:t xml:space="preserve"> view, should be accessible to enterprises in the agriculture and seafood sectors in receipt of other RDP/EMFF grant funding. Non SME </w:t>
      </w:r>
      <w:r w:rsidR="00B716D2" w:rsidRPr="005A7E71">
        <w:rPr>
          <w:rFonts w:ascii="Times New Roman" w:hAnsi="Times New Roman"/>
          <w:sz w:val="24"/>
          <w:szCs w:val="24"/>
        </w:rPr>
        <w:t xml:space="preserve">seafood </w:t>
      </w:r>
      <w:r w:rsidRPr="005A7E71">
        <w:rPr>
          <w:rFonts w:ascii="Times New Roman" w:hAnsi="Times New Roman"/>
          <w:sz w:val="24"/>
          <w:szCs w:val="24"/>
        </w:rPr>
        <w:t xml:space="preserve">processors should also be eligible for a partial financial guarantee as part of the FI although these firms are not eligible for grant funding. </w:t>
      </w:r>
    </w:p>
    <w:p w:rsidR="00283706" w:rsidRPr="00147FFC" w:rsidRDefault="00283706" w:rsidP="00F76828">
      <w:pPr>
        <w:pStyle w:val="ListParagraph"/>
        <w:numPr>
          <w:ilvl w:val="0"/>
          <w:numId w:val="5"/>
        </w:numPr>
        <w:suppressAutoHyphens/>
        <w:spacing w:after="120"/>
        <w:ind w:left="0"/>
        <w:jc w:val="both"/>
        <w:rPr>
          <w:rFonts w:ascii="Times New Roman" w:hAnsi="Times New Roman"/>
          <w:sz w:val="24"/>
          <w:szCs w:val="24"/>
        </w:rPr>
      </w:pPr>
      <w:r w:rsidRPr="00147FFC">
        <w:rPr>
          <w:rFonts w:ascii="Times New Roman" w:hAnsi="Times New Roman"/>
          <w:sz w:val="24"/>
          <w:szCs w:val="24"/>
        </w:rPr>
        <w:t xml:space="preserve">In terms of structure, the loan guarantee aspect of the proposed FI and the interest rate subsidy should be structured as a single Financial Instrument while the grant portion of RDP/EMFF funding continues to be administered separately by the </w:t>
      </w:r>
      <w:r w:rsidR="0063513D">
        <w:rPr>
          <w:rFonts w:ascii="Times New Roman" w:hAnsi="Times New Roman"/>
          <w:sz w:val="24"/>
          <w:szCs w:val="24"/>
        </w:rPr>
        <w:t xml:space="preserve">respective </w:t>
      </w:r>
      <w:r w:rsidRPr="00147FFC">
        <w:rPr>
          <w:rFonts w:ascii="Times New Roman" w:hAnsi="Times New Roman"/>
          <w:sz w:val="24"/>
          <w:szCs w:val="24"/>
        </w:rPr>
        <w:t xml:space="preserve">Managing </w:t>
      </w:r>
      <w:r w:rsidR="0063513D">
        <w:rPr>
          <w:rFonts w:ascii="Times New Roman" w:hAnsi="Times New Roman"/>
          <w:sz w:val="24"/>
          <w:szCs w:val="24"/>
        </w:rPr>
        <w:t>Authori</w:t>
      </w:r>
      <w:r w:rsidR="005A7E71">
        <w:rPr>
          <w:rFonts w:ascii="Times New Roman" w:hAnsi="Times New Roman"/>
          <w:sz w:val="24"/>
          <w:szCs w:val="24"/>
        </w:rPr>
        <w:t>ti</w:t>
      </w:r>
      <w:r w:rsidR="0063513D">
        <w:rPr>
          <w:rFonts w:ascii="Times New Roman" w:hAnsi="Times New Roman"/>
          <w:sz w:val="24"/>
          <w:szCs w:val="24"/>
        </w:rPr>
        <w:t>es</w:t>
      </w:r>
      <w:r w:rsidRPr="00147FFC">
        <w:rPr>
          <w:rFonts w:ascii="Times New Roman" w:hAnsi="Times New Roman"/>
          <w:sz w:val="24"/>
          <w:szCs w:val="24"/>
        </w:rPr>
        <w:t>.</w:t>
      </w:r>
    </w:p>
    <w:p w:rsidR="00A3197E" w:rsidRDefault="00283706" w:rsidP="00A3197E">
      <w:pPr>
        <w:pStyle w:val="ListParagraph"/>
        <w:numPr>
          <w:ilvl w:val="0"/>
          <w:numId w:val="5"/>
        </w:numPr>
        <w:suppressAutoHyphens/>
        <w:spacing w:after="120"/>
        <w:ind w:left="0"/>
        <w:jc w:val="both"/>
        <w:rPr>
          <w:rFonts w:ascii="Times New Roman" w:hAnsi="Times New Roman"/>
          <w:sz w:val="24"/>
          <w:szCs w:val="24"/>
        </w:rPr>
      </w:pPr>
      <w:r w:rsidRPr="00147FFC">
        <w:rPr>
          <w:rFonts w:ascii="Times New Roman" w:hAnsi="Times New Roman"/>
          <w:sz w:val="24"/>
          <w:szCs w:val="24"/>
        </w:rPr>
        <w:t xml:space="preserve">The proposed FI should be implemented by the Managing </w:t>
      </w:r>
      <w:r w:rsidR="0063513D">
        <w:rPr>
          <w:rFonts w:ascii="Times New Roman" w:hAnsi="Times New Roman"/>
          <w:sz w:val="24"/>
          <w:szCs w:val="24"/>
        </w:rPr>
        <w:t xml:space="preserve">Authorities </w:t>
      </w:r>
      <w:r w:rsidRPr="00147FFC">
        <w:rPr>
          <w:rFonts w:ascii="Times New Roman" w:hAnsi="Times New Roman"/>
          <w:sz w:val="24"/>
          <w:szCs w:val="24"/>
        </w:rPr>
        <w:t>in partnership with a specialist agency such as the Irish state development bank, the Strategic Banking Corporation of Ireland (SBCI) or the European Investment Bank (EIB</w:t>
      </w:r>
      <w:r w:rsidR="004B3EF0">
        <w:rPr>
          <w:rFonts w:ascii="Times New Roman" w:hAnsi="Times New Roman"/>
          <w:sz w:val="24"/>
          <w:szCs w:val="24"/>
        </w:rPr>
        <w:t>)</w:t>
      </w:r>
      <w:r w:rsidRPr="00147FFC">
        <w:rPr>
          <w:rFonts w:ascii="Times New Roman" w:hAnsi="Times New Roman"/>
          <w:sz w:val="24"/>
          <w:szCs w:val="24"/>
        </w:rPr>
        <w:t>. The implementing body should be appointed in line with public procurement rules.</w:t>
      </w:r>
    </w:p>
    <w:p w:rsidR="00283706" w:rsidRPr="00A3197E" w:rsidRDefault="009E5286" w:rsidP="00E56C02">
      <w:pPr>
        <w:pStyle w:val="ListParagraph"/>
        <w:numPr>
          <w:ilvl w:val="0"/>
          <w:numId w:val="5"/>
        </w:numPr>
        <w:suppressAutoHyphens/>
        <w:spacing w:after="0"/>
        <w:ind w:left="0" w:hanging="357"/>
        <w:rPr>
          <w:rFonts w:ascii="Times New Roman" w:hAnsi="Times New Roman"/>
          <w:sz w:val="24"/>
          <w:szCs w:val="24"/>
        </w:rPr>
      </w:pPr>
      <w:r w:rsidRPr="00A3197E">
        <w:rPr>
          <w:rFonts w:ascii="Times New Roman" w:hAnsi="Times New Roman"/>
          <w:sz w:val="24"/>
          <w:szCs w:val="24"/>
        </w:rPr>
        <w:t>The FI should be established based on a combination of funding from the EAFRD and the EMFF. Without combini</w:t>
      </w:r>
      <w:r w:rsidR="00A3197E">
        <w:rPr>
          <w:rFonts w:ascii="Times New Roman" w:hAnsi="Times New Roman"/>
          <w:sz w:val="24"/>
          <w:szCs w:val="24"/>
        </w:rPr>
        <w:t xml:space="preserve">ng the funding sources, </w:t>
      </w:r>
      <w:proofErr w:type="spellStart"/>
      <w:r w:rsidR="00A3197E">
        <w:rPr>
          <w:rFonts w:ascii="Times New Roman" w:hAnsi="Times New Roman"/>
          <w:sz w:val="24"/>
          <w:szCs w:val="24"/>
        </w:rPr>
        <w:t>Indecon</w:t>
      </w:r>
      <w:proofErr w:type="spellEnd"/>
      <w:r w:rsidR="00A3197E">
        <w:rPr>
          <w:rFonts w:ascii="Times New Roman" w:hAnsi="Times New Roman"/>
          <w:sz w:val="24"/>
          <w:szCs w:val="24"/>
        </w:rPr>
        <w:t xml:space="preserve"> </w:t>
      </w:r>
      <w:r w:rsidR="00A3197E" w:rsidRPr="00A3197E">
        <w:rPr>
          <w:rFonts w:ascii="Times New Roman" w:hAnsi="Times New Roman"/>
          <w:sz w:val="24"/>
          <w:szCs w:val="24"/>
        </w:rPr>
        <w:t>believe</w:t>
      </w:r>
      <w:r w:rsidR="007D34D7">
        <w:rPr>
          <w:rFonts w:ascii="Times New Roman" w:hAnsi="Times New Roman"/>
          <w:sz w:val="24"/>
          <w:szCs w:val="24"/>
        </w:rPr>
        <w:t xml:space="preserve"> that a</w:t>
      </w:r>
      <w:r w:rsidRPr="00A3197E">
        <w:rPr>
          <w:rFonts w:ascii="Times New Roman" w:hAnsi="Times New Roman"/>
          <w:sz w:val="24"/>
          <w:szCs w:val="24"/>
        </w:rPr>
        <w:t xml:space="preserve"> FI for the seafood sector would not </w:t>
      </w:r>
      <w:r w:rsidR="00A3197E" w:rsidRPr="00A3197E">
        <w:rPr>
          <w:rFonts w:ascii="Times New Roman" w:hAnsi="Times New Roman"/>
          <w:sz w:val="24"/>
          <w:szCs w:val="24"/>
        </w:rPr>
        <w:t xml:space="preserve">reach a sufficient scale to justify the </w:t>
      </w:r>
      <w:r w:rsidR="007D34D7">
        <w:rPr>
          <w:rFonts w:ascii="Times New Roman" w:hAnsi="Times New Roman"/>
          <w:sz w:val="24"/>
          <w:szCs w:val="24"/>
        </w:rPr>
        <w:t xml:space="preserve">introduction of a </w:t>
      </w:r>
      <w:r w:rsidR="007D34D7" w:rsidRPr="007D34D7">
        <w:rPr>
          <w:rFonts w:ascii="Times New Roman" w:hAnsi="Times New Roman"/>
          <w:kern w:val="24"/>
          <w:sz w:val="24"/>
          <w:szCs w:val="24"/>
        </w:rPr>
        <w:t xml:space="preserve">standalone </w:t>
      </w:r>
      <w:r w:rsidR="00A3197E" w:rsidRPr="007D34D7">
        <w:rPr>
          <w:rFonts w:ascii="Times New Roman" w:hAnsi="Times New Roman"/>
          <w:kern w:val="24"/>
          <w:sz w:val="24"/>
          <w:szCs w:val="24"/>
        </w:rPr>
        <w:t>FI</w:t>
      </w:r>
      <w:r w:rsidR="00E56C02">
        <w:rPr>
          <w:rFonts w:ascii="Times New Roman" w:hAnsi="Times New Roman"/>
          <w:kern w:val="24"/>
          <w:sz w:val="24"/>
          <w:szCs w:val="24"/>
        </w:rPr>
        <w:t xml:space="preserve"> </w:t>
      </w:r>
      <w:r w:rsidR="007D34D7" w:rsidRPr="007D34D7">
        <w:rPr>
          <w:rFonts w:ascii="Times New Roman" w:hAnsi="Times New Roman"/>
          <w:kern w:val="24"/>
          <w:sz w:val="24"/>
          <w:szCs w:val="24"/>
        </w:rPr>
        <w:t>and would be an unviable instrument</w:t>
      </w:r>
      <w:r w:rsidR="007D34D7" w:rsidRPr="007D34D7">
        <w:rPr>
          <w:rFonts w:ascii="Times New Roman" w:hAnsi="Times New Roman"/>
          <w:kern w:val="32"/>
          <w:sz w:val="24"/>
          <w:szCs w:val="24"/>
        </w:rPr>
        <w:t>.</w:t>
      </w:r>
      <w:r w:rsidR="009C28D9" w:rsidRPr="007D34D7">
        <w:rPr>
          <w:rFonts w:ascii="Times New Roman" w:hAnsi="Times New Roman"/>
          <w:kern w:val="32"/>
          <w:sz w:val="24"/>
          <w:szCs w:val="24"/>
        </w:rPr>
        <w:br w:type="page"/>
      </w:r>
      <w:r w:rsidR="006F7613" w:rsidRPr="00A3197E">
        <w:rPr>
          <w:rFonts w:ascii="Times New Roman" w:eastAsia="Times New Roman" w:hAnsi="Times New Roman"/>
          <w:b/>
          <w:sz w:val="24"/>
          <w:szCs w:val="24"/>
        </w:rPr>
        <w:t xml:space="preserve">Key  Elements of the </w:t>
      </w:r>
      <w:r w:rsidR="00741C3C">
        <w:rPr>
          <w:rFonts w:ascii="Times New Roman" w:eastAsia="Times New Roman" w:hAnsi="Times New Roman"/>
          <w:b/>
          <w:sz w:val="24"/>
          <w:szCs w:val="24"/>
        </w:rPr>
        <w:t xml:space="preserve">Pilot </w:t>
      </w:r>
      <w:r w:rsidR="006F7613" w:rsidRPr="00A3197E">
        <w:rPr>
          <w:rFonts w:ascii="Times New Roman" w:eastAsia="Times New Roman" w:hAnsi="Times New Roman"/>
          <w:b/>
          <w:sz w:val="24"/>
          <w:szCs w:val="24"/>
        </w:rPr>
        <w:t>Financial Instrument as Proposed</w:t>
      </w:r>
    </w:p>
    <w:p w:rsidR="006F7613" w:rsidRPr="00147FFC" w:rsidRDefault="006F7613" w:rsidP="00F76828">
      <w:pPr>
        <w:pStyle w:val="ListParagraph"/>
        <w:suppressAutoHyphens/>
        <w:spacing w:after="120"/>
        <w:ind w:left="0"/>
        <w:jc w:val="both"/>
        <w:rPr>
          <w:rFonts w:ascii="Times New Roman" w:hAnsi="Times New Roman"/>
          <w:sz w:val="24"/>
          <w:szCs w:val="24"/>
        </w:rPr>
      </w:pPr>
    </w:p>
    <w:p w:rsidR="00F76828" w:rsidRPr="00203BF5" w:rsidRDefault="006F7613" w:rsidP="00F76828">
      <w:pPr>
        <w:pStyle w:val="ListParagraph"/>
        <w:numPr>
          <w:ilvl w:val="0"/>
          <w:numId w:val="5"/>
        </w:numPr>
        <w:suppressAutoHyphens/>
        <w:spacing w:after="0"/>
        <w:ind w:left="0"/>
        <w:jc w:val="both"/>
        <w:rPr>
          <w:rFonts w:ascii="Times New Roman" w:hAnsi="Times New Roman"/>
          <w:sz w:val="24"/>
          <w:szCs w:val="24"/>
        </w:rPr>
      </w:pPr>
      <w:r w:rsidRPr="009C28D9">
        <w:rPr>
          <w:rFonts w:ascii="Times New Roman" w:hAnsi="Times New Roman"/>
          <w:sz w:val="24"/>
          <w:szCs w:val="24"/>
        </w:rPr>
        <w:t>Lending of between €100 - €130m will b</w:t>
      </w:r>
      <w:r w:rsidR="004E2987">
        <w:rPr>
          <w:rFonts w:ascii="Times New Roman" w:hAnsi="Times New Roman"/>
          <w:sz w:val="24"/>
          <w:szCs w:val="24"/>
        </w:rPr>
        <w:t>e supported in the pilot Scheme.</w:t>
      </w:r>
    </w:p>
    <w:p w:rsidR="006F7613" w:rsidRPr="00F76828" w:rsidRDefault="006F7613" w:rsidP="00203BF5">
      <w:pPr>
        <w:pStyle w:val="ListParagraph"/>
        <w:numPr>
          <w:ilvl w:val="0"/>
          <w:numId w:val="5"/>
        </w:numPr>
        <w:suppressAutoHyphens/>
        <w:spacing w:after="0"/>
        <w:ind w:left="0"/>
        <w:rPr>
          <w:rFonts w:ascii="Times New Roman" w:hAnsi="Times New Roman"/>
          <w:sz w:val="24"/>
          <w:szCs w:val="24"/>
        </w:rPr>
      </w:pPr>
      <w:r w:rsidRPr="00F76828">
        <w:rPr>
          <w:rFonts w:ascii="Times New Roman" w:hAnsi="Times New Roman"/>
          <w:sz w:val="24"/>
          <w:szCs w:val="24"/>
        </w:rPr>
        <w:t>This lending would be underpinned by a DAFM contribution</w:t>
      </w:r>
      <w:r w:rsidR="00F14AAE">
        <w:rPr>
          <w:rFonts w:ascii="Times New Roman" w:hAnsi="Times New Roman"/>
          <w:sz w:val="24"/>
          <w:szCs w:val="24"/>
        </w:rPr>
        <w:t xml:space="preserve"> from the RDP/EMFF</w:t>
      </w:r>
      <w:r w:rsidR="00741C3C">
        <w:rPr>
          <w:rFonts w:ascii="Times New Roman" w:hAnsi="Times New Roman"/>
          <w:sz w:val="24"/>
          <w:szCs w:val="24"/>
        </w:rPr>
        <w:t>.</w:t>
      </w:r>
    </w:p>
    <w:p w:rsidR="006F7613" w:rsidRPr="009C28D9" w:rsidRDefault="006F7613" w:rsidP="00203BF5">
      <w:pPr>
        <w:pStyle w:val="ListParagraph"/>
        <w:numPr>
          <w:ilvl w:val="0"/>
          <w:numId w:val="5"/>
        </w:numPr>
        <w:suppressAutoHyphens/>
        <w:spacing w:after="0"/>
        <w:ind w:left="0"/>
        <w:rPr>
          <w:rFonts w:ascii="Times New Roman" w:hAnsi="Times New Roman"/>
          <w:sz w:val="24"/>
          <w:szCs w:val="24"/>
        </w:rPr>
      </w:pPr>
      <w:r w:rsidRPr="009C28D9">
        <w:rPr>
          <w:rFonts w:ascii="Times New Roman" w:hAnsi="Times New Roman"/>
          <w:sz w:val="24"/>
          <w:szCs w:val="24"/>
        </w:rPr>
        <w:t>As lending is repaid the funds ar</w:t>
      </w:r>
      <w:r w:rsidR="00741C3C">
        <w:rPr>
          <w:rFonts w:ascii="Times New Roman" w:hAnsi="Times New Roman"/>
          <w:sz w:val="24"/>
          <w:szCs w:val="24"/>
        </w:rPr>
        <w:t>e issued again in new lending.</w:t>
      </w:r>
      <w:r w:rsidR="00203BF5">
        <w:rPr>
          <w:rFonts w:ascii="Times New Roman" w:hAnsi="Times New Roman"/>
          <w:sz w:val="24"/>
          <w:szCs w:val="24"/>
        </w:rPr>
        <w:t xml:space="preserve"> </w:t>
      </w:r>
    </w:p>
    <w:p w:rsidR="006F7613" w:rsidRPr="009C28D9" w:rsidRDefault="006F7613" w:rsidP="00203BF5">
      <w:pPr>
        <w:pStyle w:val="ListParagraph"/>
        <w:numPr>
          <w:ilvl w:val="0"/>
          <w:numId w:val="5"/>
        </w:numPr>
        <w:suppressAutoHyphens/>
        <w:spacing w:after="0"/>
        <w:ind w:left="0" w:hanging="357"/>
        <w:rPr>
          <w:rFonts w:ascii="Times New Roman" w:hAnsi="Times New Roman"/>
          <w:sz w:val="24"/>
          <w:szCs w:val="24"/>
        </w:rPr>
      </w:pPr>
      <w:r w:rsidRPr="009C28D9">
        <w:rPr>
          <w:rFonts w:ascii="Times New Roman" w:hAnsi="Times New Roman"/>
          <w:sz w:val="24"/>
          <w:szCs w:val="24"/>
        </w:rPr>
        <w:t>Standard Credit Criteria will be</w:t>
      </w:r>
      <w:r w:rsidR="00203BF5">
        <w:rPr>
          <w:rFonts w:ascii="Times New Roman" w:hAnsi="Times New Roman"/>
          <w:sz w:val="24"/>
          <w:szCs w:val="24"/>
        </w:rPr>
        <w:t xml:space="preserve"> a</w:t>
      </w:r>
      <w:r w:rsidR="00741C3C">
        <w:rPr>
          <w:rFonts w:ascii="Times New Roman" w:hAnsi="Times New Roman"/>
          <w:sz w:val="24"/>
          <w:szCs w:val="24"/>
        </w:rPr>
        <w:t>pplied.</w:t>
      </w:r>
    </w:p>
    <w:p w:rsidR="006F7613" w:rsidRPr="009C28D9" w:rsidRDefault="006F7613" w:rsidP="00203BF5">
      <w:pPr>
        <w:pStyle w:val="ListParagraph"/>
        <w:numPr>
          <w:ilvl w:val="0"/>
          <w:numId w:val="5"/>
        </w:numPr>
        <w:suppressAutoHyphens/>
        <w:spacing w:after="0"/>
        <w:ind w:left="0"/>
        <w:rPr>
          <w:rFonts w:ascii="Times New Roman" w:hAnsi="Times New Roman"/>
          <w:sz w:val="24"/>
          <w:szCs w:val="24"/>
        </w:rPr>
      </w:pPr>
      <w:r w:rsidRPr="009C28D9">
        <w:rPr>
          <w:rFonts w:ascii="Times New Roman" w:hAnsi="Times New Roman"/>
          <w:sz w:val="24"/>
          <w:szCs w:val="24"/>
        </w:rPr>
        <w:t>A maximum of 70% of any individual loan to be guaranteed, but raised to 80% for young farmers a</w:t>
      </w:r>
      <w:r w:rsidR="004E2987">
        <w:rPr>
          <w:rFonts w:ascii="Times New Roman" w:hAnsi="Times New Roman"/>
          <w:sz w:val="24"/>
          <w:szCs w:val="24"/>
        </w:rPr>
        <w:t>nd seafood start-up businesses.</w:t>
      </w:r>
    </w:p>
    <w:p w:rsidR="006F7613" w:rsidRPr="00203BF5" w:rsidRDefault="006F7613" w:rsidP="00F76828">
      <w:pPr>
        <w:pStyle w:val="ListParagraph"/>
        <w:numPr>
          <w:ilvl w:val="0"/>
          <w:numId w:val="5"/>
        </w:numPr>
        <w:suppressAutoHyphens/>
        <w:spacing w:after="0"/>
        <w:ind w:left="0"/>
        <w:jc w:val="both"/>
        <w:rPr>
          <w:rFonts w:ascii="Times New Roman" w:hAnsi="Times New Roman"/>
          <w:sz w:val="24"/>
          <w:szCs w:val="24"/>
        </w:rPr>
      </w:pPr>
      <w:r w:rsidRPr="009C28D9">
        <w:rPr>
          <w:rFonts w:ascii="Times New Roman" w:hAnsi="Times New Roman"/>
          <w:sz w:val="24"/>
          <w:szCs w:val="24"/>
        </w:rPr>
        <w:t xml:space="preserve">Guarantee capped at 15% of </w:t>
      </w:r>
      <w:r w:rsidR="005201E5">
        <w:rPr>
          <w:rFonts w:ascii="Times New Roman" w:hAnsi="Times New Roman"/>
          <w:sz w:val="24"/>
          <w:szCs w:val="24"/>
        </w:rPr>
        <w:t xml:space="preserve">the total loan </w:t>
      </w:r>
      <w:r w:rsidRPr="009C28D9">
        <w:rPr>
          <w:rFonts w:ascii="Times New Roman" w:hAnsi="Times New Roman"/>
          <w:sz w:val="24"/>
          <w:szCs w:val="24"/>
        </w:rPr>
        <w:t xml:space="preserve">portfolio but </w:t>
      </w:r>
      <w:r w:rsidR="005201E5">
        <w:rPr>
          <w:rFonts w:ascii="Times New Roman" w:hAnsi="Times New Roman"/>
          <w:sz w:val="24"/>
          <w:szCs w:val="24"/>
        </w:rPr>
        <w:t xml:space="preserve">a </w:t>
      </w:r>
      <w:r w:rsidRPr="009C28D9">
        <w:rPr>
          <w:rFonts w:ascii="Times New Roman" w:hAnsi="Times New Roman"/>
          <w:sz w:val="24"/>
          <w:szCs w:val="24"/>
        </w:rPr>
        <w:t>cap of up to 25% of</w:t>
      </w:r>
      <w:r w:rsidR="005201E5">
        <w:rPr>
          <w:rFonts w:ascii="Times New Roman" w:hAnsi="Times New Roman"/>
          <w:sz w:val="24"/>
          <w:szCs w:val="24"/>
        </w:rPr>
        <w:t xml:space="preserve"> the</w:t>
      </w:r>
      <w:r w:rsidRPr="009C28D9">
        <w:rPr>
          <w:rFonts w:ascii="Times New Roman" w:hAnsi="Times New Roman"/>
          <w:sz w:val="24"/>
          <w:szCs w:val="24"/>
        </w:rPr>
        <w:t xml:space="preserve"> lending portfolio to be guaranteed for young farmers </w:t>
      </w:r>
      <w:r w:rsidR="00741C3C">
        <w:rPr>
          <w:rFonts w:ascii="Times New Roman" w:hAnsi="Times New Roman"/>
          <w:sz w:val="24"/>
          <w:szCs w:val="24"/>
        </w:rPr>
        <w:t>and seafood start-up businesses.</w:t>
      </w:r>
    </w:p>
    <w:p w:rsidR="006F7613" w:rsidRPr="00741C3C" w:rsidRDefault="006F7613" w:rsidP="00741C3C">
      <w:pPr>
        <w:pStyle w:val="ListParagraph"/>
        <w:numPr>
          <w:ilvl w:val="0"/>
          <w:numId w:val="5"/>
        </w:numPr>
        <w:suppressAutoHyphens/>
        <w:spacing w:after="0"/>
        <w:ind w:left="0" w:hanging="357"/>
        <w:jc w:val="both"/>
        <w:rPr>
          <w:rFonts w:ascii="Times New Roman" w:hAnsi="Times New Roman"/>
          <w:sz w:val="24"/>
          <w:szCs w:val="24"/>
        </w:rPr>
      </w:pPr>
      <w:r w:rsidRPr="009C28D9">
        <w:rPr>
          <w:rFonts w:ascii="Times New Roman" w:hAnsi="Times New Roman"/>
          <w:sz w:val="24"/>
          <w:szCs w:val="24"/>
        </w:rPr>
        <w:t>Total aid provided via the proposed FI will be capped in line with State Aid regulations with account to be taken for potential accumulation of aid via the proposed FI and other forms of aid.  For the RDP this would mean</w:t>
      </w:r>
      <w:r w:rsidR="00F76828">
        <w:rPr>
          <w:rFonts w:ascii="Times New Roman" w:hAnsi="Times New Roman"/>
          <w:sz w:val="24"/>
          <w:szCs w:val="24"/>
        </w:rPr>
        <w:t xml:space="preserve"> </w:t>
      </w:r>
      <w:r w:rsidRPr="009C28D9">
        <w:rPr>
          <w:rFonts w:ascii="Times New Roman" w:hAnsi="Times New Roman"/>
          <w:sz w:val="24"/>
          <w:szCs w:val="24"/>
        </w:rPr>
        <w:t xml:space="preserve">that farmers who avail of a FI </w:t>
      </w:r>
      <w:r w:rsidR="005201E5" w:rsidRPr="00741C3C">
        <w:rPr>
          <w:rFonts w:ascii="Times New Roman" w:hAnsi="Times New Roman"/>
          <w:b/>
          <w:sz w:val="24"/>
          <w:szCs w:val="24"/>
          <w:u w:val="single"/>
        </w:rPr>
        <w:t>will receive a low</w:t>
      </w:r>
      <w:r w:rsidRPr="00741C3C">
        <w:rPr>
          <w:rFonts w:ascii="Times New Roman" w:hAnsi="Times New Roman"/>
          <w:b/>
          <w:sz w:val="24"/>
          <w:szCs w:val="24"/>
          <w:u w:val="single"/>
        </w:rPr>
        <w:t>er grant than farmers who do not,</w:t>
      </w:r>
      <w:r w:rsidRPr="009C28D9">
        <w:rPr>
          <w:rFonts w:ascii="Times New Roman" w:hAnsi="Times New Roman"/>
          <w:sz w:val="24"/>
          <w:szCs w:val="24"/>
        </w:rPr>
        <w:t xml:space="preserve"> as the aid intensity of 40% (or 60% for Young Farmers) must be respected and the cost of the guarantee plus </w:t>
      </w:r>
      <w:r w:rsidR="005201E5">
        <w:rPr>
          <w:rFonts w:ascii="Times New Roman" w:hAnsi="Times New Roman"/>
          <w:sz w:val="24"/>
          <w:szCs w:val="24"/>
        </w:rPr>
        <w:t xml:space="preserve">interest </w:t>
      </w:r>
      <w:r w:rsidR="005201E5" w:rsidRPr="00741C3C">
        <w:rPr>
          <w:rFonts w:ascii="Times New Roman" w:hAnsi="Times New Roman"/>
          <w:sz w:val="24"/>
          <w:szCs w:val="24"/>
        </w:rPr>
        <w:t>subsidy plus</w:t>
      </w:r>
      <w:r w:rsidRPr="00741C3C">
        <w:rPr>
          <w:rFonts w:ascii="Times New Roman" w:hAnsi="Times New Roman"/>
          <w:sz w:val="24"/>
          <w:szCs w:val="24"/>
        </w:rPr>
        <w:t xml:space="preserve"> management fees plus grant is include</w:t>
      </w:r>
      <w:r w:rsidR="00741C3C">
        <w:rPr>
          <w:rFonts w:ascii="Times New Roman" w:hAnsi="Times New Roman"/>
          <w:sz w:val="24"/>
          <w:szCs w:val="24"/>
        </w:rPr>
        <w:t>d when reaching that threshold; this</w:t>
      </w:r>
      <w:r w:rsidR="00741C3C" w:rsidRPr="00741C3C">
        <w:rPr>
          <w:rFonts w:ascii="Times New Roman" w:eastAsia="Times New Roman" w:hAnsi="Times New Roman"/>
          <w:sz w:val="24"/>
          <w:szCs w:val="24"/>
        </w:rPr>
        <w:t xml:space="preserve"> would come from the existing RDP allocation for TAMS.</w:t>
      </w:r>
    </w:p>
    <w:p w:rsidR="00F76828" w:rsidRPr="00203BF5" w:rsidRDefault="006F7613" w:rsidP="00741C3C">
      <w:pPr>
        <w:pStyle w:val="ListParagraph"/>
        <w:numPr>
          <w:ilvl w:val="0"/>
          <w:numId w:val="5"/>
        </w:numPr>
        <w:suppressAutoHyphens/>
        <w:spacing w:after="0"/>
        <w:ind w:left="0" w:hanging="284"/>
        <w:jc w:val="both"/>
        <w:rPr>
          <w:rFonts w:ascii="Times New Roman" w:hAnsi="Times New Roman"/>
          <w:sz w:val="24"/>
          <w:szCs w:val="24"/>
        </w:rPr>
      </w:pPr>
      <w:r w:rsidRPr="009C28D9">
        <w:rPr>
          <w:rFonts w:ascii="Times New Roman" w:hAnsi="Times New Roman"/>
          <w:sz w:val="24"/>
          <w:szCs w:val="24"/>
        </w:rPr>
        <w:t xml:space="preserve">For the EMFF, </w:t>
      </w:r>
      <w:proofErr w:type="spellStart"/>
      <w:r w:rsidRPr="009C28D9">
        <w:rPr>
          <w:rFonts w:ascii="Times New Roman" w:hAnsi="Times New Roman"/>
          <w:sz w:val="24"/>
          <w:szCs w:val="24"/>
        </w:rPr>
        <w:t>Indecon’s</w:t>
      </w:r>
      <w:proofErr w:type="spellEnd"/>
      <w:r w:rsidRPr="009C28D9">
        <w:rPr>
          <w:rFonts w:ascii="Times New Roman" w:hAnsi="Times New Roman"/>
          <w:sz w:val="24"/>
          <w:szCs w:val="24"/>
        </w:rPr>
        <w:t xml:space="preserve"> Ex-ante Assessment recommends support through financial instruments for capital investment in the aquaculture and seafood processing sectors.  The maximum aid intensities specified in the EMFF Regulation for private enterprises in the two sectors concerned is 50% for SMEs and 30% for non SMEs.  A higher rate of 60% is permitted for collectives such as registered cooperatives.  Generally speaking, the schemes implemented under Ireland’s EMFF Operational Programme provide maximum aid for capital investment below these maximum permitted aid intensities.  For example, 30% is provided to SME seafood processors and 40% to aquaculture SMEs.  These represent the vast bulk of grant recipients potentially affected by the proposed financial instruments.   However, there are some exceptions where aid is already provided at the maximum permitted aid intensity specified in the EMFF Regulation.  Non-SME aquaculture enterprises are presently allowed aid of the maximum 30% permitted under the Regulation, while new entrants to the aquaculture sector are allowed the maximum 50% permitted.  In addition, special incentive rates of 50% are allowed to SME aquaculture enterprises for investment in seaweed aquaculture, integrated multi-trophic aquaculture and closed containment system aquaculture and these are at the maximum permitted under the EMFF Regulation.    Therefore, in order to avail of additional aid in the form of financial instruments, the exceptional cases detailed above would see a corresponding reduction in grant aid, so that the overall aid is maintained within the limits of the maximum aid intensity permitted under the EMFF Regulation.  </w:t>
      </w:r>
    </w:p>
    <w:p w:rsidR="006F7613" w:rsidRPr="005201E5" w:rsidRDefault="006F7613" w:rsidP="00F76828">
      <w:pPr>
        <w:pStyle w:val="ListParagraph"/>
        <w:numPr>
          <w:ilvl w:val="0"/>
          <w:numId w:val="5"/>
        </w:numPr>
        <w:suppressAutoHyphens/>
        <w:spacing w:after="0"/>
        <w:ind w:left="0"/>
        <w:jc w:val="both"/>
        <w:rPr>
          <w:rFonts w:ascii="Times New Roman" w:hAnsi="Times New Roman"/>
          <w:sz w:val="24"/>
          <w:szCs w:val="24"/>
        </w:rPr>
      </w:pPr>
      <w:r w:rsidRPr="005201E5">
        <w:rPr>
          <w:rFonts w:ascii="Times New Roman" w:hAnsi="Times New Roman"/>
          <w:sz w:val="24"/>
          <w:szCs w:val="24"/>
        </w:rPr>
        <w:t>No</w:t>
      </w:r>
      <w:r w:rsidR="00F76828" w:rsidRPr="005201E5">
        <w:rPr>
          <w:rFonts w:ascii="Times New Roman" w:hAnsi="Times New Roman"/>
          <w:sz w:val="24"/>
          <w:szCs w:val="24"/>
        </w:rPr>
        <w:t xml:space="preserve"> </w:t>
      </w:r>
      <w:r w:rsidRPr="005201E5">
        <w:rPr>
          <w:rFonts w:ascii="Times New Roman" w:hAnsi="Times New Roman"/>
          <w:sz w:val="24"/>
          <w:szCs w:val="24"/>
        </w:rPr>
        <w:t xml:space="preserve">additional EAFRD or EMFF funding </w:t>
      </w:r>
      <w:r w:rsidR="00741C3C">
        <w:rPr>
          <w:rFonts w:ascii="Times New Roman" w:hAnsi="Times New Roman"/>
          <w:sz w:val="24"/>
          <w:szCs w:val="24"/>
        </w:rPr>
        <w:t xml:space="preserve">to </w:t>
      </w:r>
      <w:r w:rsidRPr="005201E5">
        <w:rPr>
          <w:rFonts w:ascii="Times New Roman" w:hAnsi="Times New Roman"/>
          <w:sz w:val="24"/>
          <w:szCs w:val="24"/>
        </w:rPr>
        <w:t xml:space="preserve">be </w:t>
      </w:r>
      <w:r w:rsidR="00F76828" w:rsidRPr="005201E5">
        <w:rPr>
          <w:rFonts w:ascii="Times New Roman" w:hAnsi="Times New Roman"/>
          <w:sz w:val="24"/>
          <w:szCs w:val="24"/>
        </w:rPr>
        <w:t xml:space="preserve">made available </w:t>
      </w:r>
      <w:r w:rsidRPr="005201E5">
        <w:rPr>
          <w:rFonts w:ascii="Times New Roman" w:hAnsi="Times New Roman"/>
          <w:sz w:val="24"/>
          <w:szCs w:val="24"/>
        </w:rPr>
        <w:t>for the introduction of the Financial Instrument</w:t>
      </w:r>
      <w:r w:rsidR="00741C3C">
        <w:rPr>
          <w:rFonts w:ascii="Times New Roman" w:hAnsi="Times New Roman"/>
          <w:sz w:val="24"/>
          <w:szCs w:val="24"/>
        </w:rPr>
        <w:t>.</w:t>
      </w:r>
      <w:r w:rsidRPr="005201E5">
        <w:rPr>
          <w:rFonts w:ascii="Times New Roman" w:hAnsi="Times New Roman"/>
          <w:sz w:val="24"/>
          <w:szCs w:val="24"/>
        </w:rPr>
        <w:t xml:space="preserve"> </w:t>
      </w:r>
    </w:p>
    <w:p w:rsidR="00283706" w:rsidRDefault="00283706" w:rsidP="00F76828">
      <w:pPr>
        <w:pStyle w:val="ListParagraph"/>
        <w:ind w:left="0"/>
        <w:rPr>
          <w:b/>
          <w:i/>
        </w:rPr>
      </w:pPr>
    </w:p>
    <w:p w:rsidR="00203BF5" w:rsidRDefault="00203BF5" w:rsidP="00F76828">
      <w:pPr>
        <w:pStyle w:val="ListParagraph"/>
        <w:ind w:left="0"/>
        <w:rPr>
          <w:b/>
          <w:i/>
        </w:rPr>
      </w:pPr>
    </w:p>
    <w:p w:rsidR="00203BF5" w:rsidRDefault="00203BF5" w:rsidP="00F76828">
      <w:pPr>
        <w:pStyle w:val="ListParagraph"/>
        <w:ind w:left="0"/>
        <w:rPr>
          <w:b/>
          <w:i/>
        </w:rPr>
      </w:pPr>
    </w:p>
    <w:p w:rsidR="00203BF5" w:rsidRDefault="00203BF5" w:rsidP="00F76828">
      <w:pPr>
        <w:pStyle w:val="ListParagraph"/>
        <w:ind w:left="0"/>
        <w:rPr>
          <w:b/>
          <w:i/>
        </w:rPr>
      </w:pPr>
    </w:p>
    <w:p w:rsidR="00A87388" w:rsidRDefault="009E5286" w:rsidP="00F76828">
      <w:pPr>
        <w:spacing w:line="276" w:lineRule="auto"/>
        <w:jc w:val="both"/>
        <w:rPr>
          <w:b/>
        </w:rPr>
      </w:pPr>
      <w:r>
        <w:rPr>
          <w:b/>
        </w:rPr>
        <w:t>The Consultation Process</w:t>
      </w:r>
    </w:p>
    <w:p w:rsidR="009E5286" w:rsidRDefault="009E5286" w:rsidP="00F76828">
      <w:pPr>
        <w:spacing w:line="276" w:lineRule="auto"/>
        <w:jc w:val="both"/>
      </w:pPr>
      <w:r>
        <w:t xml:space="preserve"> </w:t>
      </w:r>
    </w:p>
    <w:p w:rsidR="00FD2078" w:rsidRDefault="009E5286" w:rsidP="00F76828">
      <w:pPr>
        <w:spacing w:line="276" w:lineRule="auto"/>
        <w:jc w:val="both"/>
      </w:pPr>
      <w:r>
        <w:t xml:space="preserve">To ensure that maximum stakeholder input is received you are invited to give us your views on the </w:t>
      </w:r>
      <w:r w:rsidR="00AF0CFA">
        <w:t xml:space="preserve">proposal, as outlined in </w:t>
      </w:r>
      <w:proofErr w:type="spellStart"/>
      <w:r w:rsidR="006F7613">
        <w:t>Indecon’s</w:t>
      </w:r>
      <w:proofErr w:type="spellEnd"/>
      <w:r w:rsidR="006F7613">
        <w:t xml:space="preserve"> </w:t>
      </w:r>
      <w:r w:rsidR="00834662">
        <w:t xml:space="preserve">report, </w:t>
      </w:r>
      <w:r w:rsidR="00FD2078">
        <w:t xml:space="preserve">to </w:t>
      </w:r>
      <w:r>
        <w:t>introduc</w:t>
      </w:r>
      <w:r w:rsidR="00FD2078">
        <w:t>e a Financial Instrument</w:t>
      </w:r>
      <w:r w:rsidR="00AC457F">
        <w:t xml:space="preserve"> under the R</w:t>
      </w:r>
      <w:r w:rsidR="00834662">
        <w:t xml:space="preserve">ural </w:t>
      </w:r>
      <w:r w:rsidR="00AC457F">
        <w:t>D</w:t>
      </w:r>
      <w:r w:rsidR="00364E12">
        <w:t xml:space="preserve">evelopment </w:t>
      </w:r>
      <w:r w:rsidR="00AC457F">
        <w:t>P</w:t>
      </w:r>
      <w:r w:rsidR="00364E12">
        <w:t>rogramme</w:t>
      </w:r>
      <w:r w:rsidR="00834662">
        <w:t xml:space="preserve"> and the E</w:t>
      </w:r>
      <w:r w:rsidR="00364E12">
        <w:t xml:space="preserve">uropean </w:t>
      </w:r>
      <w:r w:rsidR="00834662">
        <w:t>M</w:t>
      </w:r>
      <w:r w:rsidR="00364E12">
        <w:t xml:space="preserve">aritime and Fisheries </w:t>
      </w:r>
      <w:r w:rsidR="00834662">
        <w:t>F</w:t>
      </w:r>
      <w:r w:rsidR="00364E12">
        <w:t>und</w:t>
      </w:r>
      <w:r w:rsidR="00834662">
        <w:t xml:space="preserve"> Operational Programme.</w:t>
      </w:r>
    </w:p>
    <w:p w:rsidR="00FD2078" w:rsidRDefault="00FD2078" w:rsidP="00F76828">
      <w:pPr>
        <w:spacing w:line="276" w:lineRule="auto"/>
        <w:jc w:val="both"/>
      </w:pPr>
    </w:p>
    <w:p w:rsidR="00956653" w:rsidRDefault="00956653" w:rsidP="00F76828">
      <w:pPr>
        <w:spacing w:line="276" w:lineRule="auto"/>
        <w:jc w:val="both"/>
      </w:pPr>
      <w:r>
        <w:rPr>
          <w:lang w:eastAsia="en-IE"/>
        </w:rPr>
        <w:t>T</w:t>
      </w:r>
      <w:r w:rsidRPr="00956653">
        <w:rPr>
          <w:lang w:eastAsia="en-IE"/>
        </w:rPr>
        <w:t>he closing date for submissions is</w:t>
      </w:r>
      <w:r>
        <w:rPr>
          <w:b/>
          <w:lang w:eastAsia="en-IE"/>
        </w:rPr>
        <w:t xml:space="preserve">  Friday 13</w:t>
      </w:r>
      <w:r w:rsidRPr="00956653">
        <w:rPr>
          <w:b/>
          <w:vertAlign w:val="superscript"/>
          <w:lang w:eastAsia="en-IE"/>
        </w:rPr>
        <w:t>th</w:t>
      </w:r>
      <w:r>
        <w:rPr>
          <w:b/>
          <w:lang w:eastAsia="en-IE"/>
        </w:rPr>
        <w:t xml:space="preserve"> </w:t>
      </w:r>
      <w:bookmarkStart w:id="0" w:name="_GoBack"/>
      <w:bookmarkEnd w:id="0"/>
      <w:r w:rsidRPr="00956653">
        <w:rPr>
          <w:b/>
          <w:lang w:eastAsia="en-IE"/>
        </w:rPr>
        <w:t>October, 2017.</w:t>
      </w:r>
    </w:p>
    <w:p w:rsidR="00956653" w:rsidRDefault="00956653" w:rsidP="00F76828">
      <w:pPr>
        <w:spacing w:line="276" w:lineRule="auto"/>
        <w:jc w:val="both"/>
      </w:pPr>
    </w:p>
    <w:p w:rsidR="005201E5" w:rsidRDefault="005201E5" w:rsidP="00F76828">
      <w:pPr>
        <w:spacing w:line="276" w:lineRule="auto"/>
        <w:jc w:val="both"/>
      </w:pPr>
      <w:r w:rsidRPr="005201E5">
        <w:t xml:space="preserve">When responding, please </w:t>
      </w:r>
      <w:r>
        <w:t>indicate whether you are farmer,</w:t>
      </w:r>
      <w:r w:rsidRPr="005201E5">
        <w:t xml:space="preserve"> </w:t>
      </w:r>
      <w:r>
        <w:t xml:space="preserve">a member of the fisheries or aquaculture sector, </w:t>
      </w:r>
      <w:r w:rsidRPr="005201E5">
        <w:t>a professional adviser, representative body</w:t>
      </w:r>
      <w:r>
        <w:t>, a financial institution</w:t>
      </w:r>
      <w:r w:rsidR="0063513D">
        <w:t>, non-governmental organisation</w:t>
      </w:r>
      <w:r w:rsidRPr="005201E5">
        <w:t xml:space="preserve"> or member of the public.</w:t>
      </w:r>
    </w:p>
    <w:p w:rsidR="005201E5" w:rsidRDefault="005201E5" w:rsidP="00F76828">
      <w:pPr>
        <w:spacing w:line="276" w:lineRule="auto"/>
        <w:jc w:val="both"/>
      </w:pPr>
    </w:p>
    <w:p w:rsidR="00AC457F" w:rsidRDefault="00FD2078" w:rsidP="00F76828">
      <w:pPr>
        <w:spacing w:line="276" w:lineRule="auto"/>
        <w:jc w:val="both"/>
      </w:pPr>
      <w:r>
        <w:t>Once these views have been received and considered, a deci</w:t>
      </w:r>
      <w:r w:rsidR="006F7613">
        <w:t>sion will then</w:t>
      </w:r>
      <w:r w:rsidR="005201E5">
        <w:t xml:space="preserve"> be</w:t>
      </w:r>
      <w:r w:rsidR="006F7613">
        <w:t xml:space="preserve"> taken on whether</w:t>
      </w:r>
      <w:r w:rsidR="00920FC5">
        <w:t xml:space="preserve"> this</w:t>
      </w:r>
      <w:r w:rsidR="00AC457F">
        <w:t xml:space="preserve"> type of </w:t>
      </w:r>
      <w:r w:rsidR="00920FC5">
        <w:t xml:space="preserve">Financial </w:t>
      </w:r>
      <w:r w:rsidR="006F7613">
        <w:t>Instrument should</w:t>
      </w:r>
      <w:r w:rsidR="00364E12">
        <w:t xml:space="preserve"> now be introduced under these P</w:t>
      </w:r>
      <w:r>
        <w:t>rogrammes.</w:t>
      </w:r>
    </w:p>
    <w:p w:rsidR="00AC457F" w:rsidRDefault="00AC457F" w:rsidP="00F76828">
      <w:pPr>
        <w:spacing w:line="276" w:lineRule="auto"/>
        <w:jc w:val="both"/>
      </w:pPr>
    </w:p>
    <w:p w:rsidR="00AC457F" w:rsidRDefault="00AC457F" w:rsidP="00F76828">
      <w:pPr>
        <w:spacing w:line="276" w:lineRule="auto"/>
        <w:jc w:val="both"/>
        <w:rPr>
          <w:i/>
        </w:rPr>
      </w:pPr>
      <w:r>
        <w:rPr>
          <w:i/>
        </w:rPr>
        <w:t>How to respond</w:t>
      </w:r>
    </w:p>
    <w:p w:rsidR="00AC457F" w:rsidRDefault="00AC457F" w:rsidP="00F76828">
      <w:pPr>
        <w:spacing w:line="276" w:lineRule="auto"/>
      </w:pPr>
      <w:r>
        <w:t>The preferred m</w:t>
      </w:r>
      <w:r w:rsidR="006F7613">
        <w:t>eans of response is by email to</w:t>
      </w:r>
      <w:r>
        <w:t>:</w:t>
      </w:r>
      <w:r w:rsidR="006F7613">
        <w:t xml:space="preserve"> </w:t>
      </w:r>
      <w:hyperlink r:id="rId17" w:history="1">
        <w:r w:rsidR="006F7613" w:rsidRPr="007B36E9">
          <w:rPr>
            <w:rStyle w:val="Hyperlink"/>
          </w:rPr>
          <w:t>financialinstruments@agriculture.gov.ie</w:t>
        </w:r>
      </w:hyperlink>
      <w:r w:rsidR="006F7613">
        <w:t xml:space="preserve"> </w:t>
      </w:r>
    </w:p>
    <w:p w:rsidR="00FD2078" w:rsidRDefault="00FD2078" w:rsidP="00F76828">
      <w:pPr>
        <w:spacing w:line="276" w:lineRule="auto"/>
        <w:jc w:val="both"/>
      </w:pPr>
    </w:p>
    <w:p w:rsidR="00FD2078" w:rsidRDefault="006F7613" w:rsidP="00F76828">
      <w:pPr>
        <w:spacing w:line="276" w:lineRule="auto"/>
        <w:jc w:val="both"/>
      </w:pPr>
      <w:r>
        <w:t xml:space="preserve">Alternatively </w:t>
      </w:r>
      <w:r w:rsidR="00FD2078">
        <w:t>you may respond by post to</w:t>
      </w:r>
      <w:r>
        <w:t>:</w:t>
      </w:r>
    </w:p>
    <w:p w:rsidR="00364E12" w:rsidRDefault="00364E12" w:rsidP="00F76828">
      <w:pPr>
        <w:spacing w:line="276" w:lineRule="auto"/>
        <w:jc w:val="both"/>
      </w:pPr>
      <w:r>
        <w:t>Financial Instrument Consultation</w:t>
      </w:r>
    </w:p>
    <w:p w:rsidR="00364E12" w:rsidRDefault="00364E12" w:rsidP="00F76828">
      <w:pPr>
        <w:spacing w:line="276" w:lineRule="auto"/>
        <w:jc w:val="both"/>
      </w:pPr>
      <w:r>
        <w:t>Rural Development Division</w:t>
      </w:r>
    </w:p>
    <w:p w:rsidR="00364E12" w:rsidRDefault="00364E12" w:rsidP="00F76828">
      <w:pPr>
        <w:spacing w:line="276" w:lineRule="auto"/>
        <w:jc w:val="both"/>
      </w:pPr>
      <w:r>
        <w:t>Department of Agriculture, Food and the Marine</w:t>
      </w:r>
    </w:p>
    <w:p w:rsidR="00364E12" w:rsidRDefault="00364E12" w:rsidP="00F76828">
      <w:pPr>
        <w:spacing w:line="276" w:lineRule="auto"/>
        <w:jc w:val="both"/>
      </w:pPr>
      <w:r>
        <w:t>Agriculture House</w:t>
      </w:r>
    </w:p>
    <w:p w:rsidR="00364E12" w:rsidRDefault="00364E12" w:rsidP="00F76828">
      <w:pPr>
        <w:spacing w:line="276" w:lineRule="auto"/>
        <w:jc w:val="both"/>
      </w:pPr>
      <w:r>
        <w:t>Kildare Street</w:t>
      </w:r>
    </w:p>
    <w:p w:rsidR="00364E12" w:rsidRDefault="00364E12" w:rsidP="00F76828">
      <w:pPr>
        <w:spacing w:line="276" w:lineRule="auto"/>
        <w:jc w:val="both"/>
      </w:pPr>
      <w:r>
        <w:t>Dublin 2</w:t>
      </w:r>
    </w:p>
    <w:p w:rsidR="00FD2078" w:rsidRDefault="00FD2078" w:rsidP="00F76828">
      <w:pPr>
        <w:spacing w:line="276" w:lineRule="auto"/>
        <w:jc w:val="both"/>
      </w:pPr>
    </w:p>
    <w:p w:rsidR="00920FC5" w:rsidRDefault="00FD2078" w:rsidP="00F76828">
      <w:pPr>
        <w:spacing w:line="276" w:lineRule="auto"/>
        <w:jc w:val="both"/>
        <w:rPr>
          <w:i/>
        </w:rPr>
      </w:pPr>
      <w:r>
        <w:rPr>
          <w:i/>
        </w:rPr>
        <w:t xml:space="preserve">Freedom </w:t>
      </w:r>
      <w:r w:rsidR="00920FC5">
        <w:rPr>
          <w:i/>
        </w:rPr>
        <w:t>of Information</w:t>
      </w:r>
    </w:p>
    <w:p w:rsidR="00920FC5" w:rsidRPr="00C902CD" w:rsidRDefault="00C902CD" w:rsidP="00F76828">
      <w:pPr>
        <w:spacing w:line="276" w:lineRule="auto"/>
        <w:jc w:val="both"/>
      </w:pPr>
      <w:r w:rsidRPr="00C902CD">
        <w:t>Responses to this consultation are subject to the provisions of the Freedom of Information Acts. Parties should also note that responses to the consultation may be published on the website of the Department of Agriculture, Food and the Marine.</w:t>
      </w:r>
      <w:r w:rsidR="0063513D">
        <w:t xml:space="preserve">  Respondents should avoid including in their submissions personal or sensitive information that they do not wish to see published.</w:t>
      </w:r>
    </w:p>
    <w:p w:rsidR="00C902CD" w:rsidRDefault="00C902CD" w:rsidP="00F76828">
      <w:pPr>
        <w:spacing w:line="276" w:lineRule="auto"/>
        <w:jc w:val="both"/>
        <w:rPr>
          <w:i/>
        </w:rPr>
      </w:pPr>
    </w:p>
    <w:p w:rsidR="00920FC5" w:rsidRDefault="00920FC5" w:rsidP="00F76828">
      <w:pPr>
        <w:spacing w:line="276" w:lineRule="auto"/>
        <w:jc w:val="both"/>
        <w:rPr>
          <w:i/>
        </w:rPr>
      </w:pPr>
      <w:r>
        <w:rPr>
          <w:i/>
        </w:rPr>
        <w:t>Meetings with key stakeholders</w:t>
      </w:r>
    </w:p>
    <w:p w:rsidR="00920FC5" w:rsidRPr="00920FC5" w:rsidRDefault="00920FC5" w:rsidP="00F76828">
      <w:pPr>
        <w:spacing w:line="276" w:lineRule="auto"/>
        <w:jc w:val="both"/>
      </w:pPr>
      <w:r>
        <w:t>DAFM may also invite key stakeholders to meet with them.</w:t>
      </w:r>
    </w:p>
    <w:sectPr w:rsidR="00920FC5" w:rsidRPr="00920FC5" w:rsidSect="001A092F">
      <w:headerReference w:type="default" r:id="rId18"/>
      <w:footerReference w:type="default" r:id="rId19"/>
      <w:pgSz w:w="11906" w:h="16838"/>
      <w:pgMar w:top="0" w:right="1800" w:bottom="18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4E" w:rsidRDefault="009F274E">
      <w:r>
        <w:separator/>
      </w:r>
    </w:p>
  </w:endnote>
  <w:endnote w:type="continuationSeparator" w:id="0">
    <w:p w:rsidR="009F274E" w:rsidRDefault="009F2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3C" w:rsidRDefault="00741C3C">
    <w:pPr>
      <w:pStyle w:val="Footer"/>
      <w:ind w:hanging="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4E" w:rsidRDefault="009F274E">
      <w:r>
        <w:separator/>
      </w:r>
    </w:p>
  </w:footnote>
  <w:footnote w:type="continuationSeparator" w:id="0">
    <w:p w:rsidR="009F274E" w:rsidRDefault="009F274E">
      <w:r>
        <w:continuationSeparator/>
      </w:r>
    </w:p>
  </w:footnote>
  <w:footnote w:id="1">
    <w:p w:rsidR="00741C3C" w:rsidRDefault="00741C3C" w:rsidP="003A6FC2">
      <w:pPr>
        <w:pStyle w:val="FootnoteText"/>
      </w:pPr>
      <w:r>
        <w:rPr>
          <w:rStyle w:val="FootnoteReference"/>
        </w:rPr>
        <w:footnoteRef/>
      </w:r>
      <w:r>
        <w:t xml:space="preserve"> </w:t>
      </w:r>
      <w:hyperlink r:id="rId1" w:history="1">
        <w:r>
          <w:rPr>
            <w:rStyle w:val="Hyperlink"/>
          </w:rPr>
          <w:t>http://eur-lex.europa.eu/legal-content/EN/TXT/PDF/?uri=CELEX:32013R1303&amp;rid=1</w:t>
        </w:r>
      </w:hyperlink>
    </w:p>
    <w:p w:rsidR="00741C3C" w:rsidRDefault="00741C3C" w:rsidP="003A6FC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370"/>
      <w:gridCol w:w="1152"/>
    </w:tblGrid>
    <w:tr w:rsidR="00741C3C" w:rsidTr="001A092F">
      <w:tc>
        <w:tcPr>
          <w:tcW w:w="0" w:type="auto"/>
          <w:tcBorders>
            <w:right w:val="single" w:sz="6" w:space="0" w:color="000000"/>
          </w:tcBorders>
        </w:tcPr>
        <w:p w:rsidR="00741C3C" w:rsidRPr="00EE1E09" w:rsidRDefault="00741C3C">
          <w:pPr>
            <w:pStyle w:val="Header"/>
            <w:jc w:val="right"/>
          </w:pPr>
          <w:r w:rsidRPr="00EE1E09">
            <w:t>Department of Agriculture, Food and the Marine</w:t>
          </w:r>
        </w:p>
        <w:p w:rsidR="00741C3C" w:rsidRPr="00EE1E09" w:rsidRDefault="00741C3C" w:rsidP="001A092F">
          <w:pPr>
            <w:pStyle w:val="Header"/>
            <w:jc w:val="right"/>
            <w:rPr>
              <w:b/>
              <w:bCs/>
            </w:rPr>
          </w:pPr>
          <w:r w:rsidRPr="00EE1E09">
            <w:rPr>
              <w:b/>
              <w:bCs/>
            </w:rPr>
            <w:t xml:space="preserve">Financial Instruments- Public Consultation Paper </w:t>
          </w:r>
        </w:p>
      </w:tc>
      <w:tc>
        <w:tcPr>
          <w:tcW w:w="1152" w:type="dxa"/>
          <w:tcBorders>
            <w:left w:val="single" w:sz="6" w:space="0" w:color="000000"/>
          </w:tcBorders>
        </w:tcPr>
        <w:p w:rsidR="00741C3C" w:rsidRPr="00EE1E09" w:rsidRDefault="00D45AB0">
          <w:pPr>
            <w:pStyle w:val="Header"/>
            <w:rPr>
              <w:b/>
              <w:bCs/>
            </w:rPr>
          </w:pPr>
          <w:r w:rsidRPr="00EE1E09">
            <w:fldChar w:fldCharType="begin"/>
          </w:r>
          <w:r w:rsidR="00741C3C" w:rsidRPr="00EE1E09">
            <w:instrText xml:space="preserve"> PAGE   \* MERGEFORMAT </w:instrText>
          </w:r>
          <w:r w:rsidRPr="00EE1E09">
            <w:fldChar w:fldCharType="separate"/>
          </w:r>
          <w:r w:rsidR="00454ABB">
            <w:rPr>
              <w:noProof/>
            </w:rPr>
            <w:t>5</w:t>
          </w:r>
          <w:r w:rsidRPr="00EE1E09">
            <w:rPr>
              <w:noProof/>
            </w:rPr>
            <w:fldChar w:fldCharType="end"/>
          </w:r>
        </w:p>
      </w:tc>
    </w:tr>
  </w:tbl>
  <w:p w:rsidR="00741C3C" w:rsidRDefault="00741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4C10630"/>
    <w:multiLevelType w:val="hybridMultilevel"/>
    <w:tmpl w:val="D6D2D322"/>
    <w:lvl w:ilvl="0" w:tplc="18090001">
      <w:start w:val="1"/>
      <w:numFmt w:val="bullet"/>
      <w:lvlText w:val=""/>
      <w:lvlJc w:val="left"/>
      <w:pPr>
        <w:ind w:left="360" w:hanging="360"/>
      </w:pPr>
      <w:rPr>
        <w:rFonts w:ascii="Symbol" w:hAnsi="Symbol" w:hint="default"/>
        <w:color w:val="1F497D"/>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06E81E06"/>
    <w:multiLevelType w:val="hybridMultilevel"/>
    <w:tmpl w:val="09E88066"/>
    <w:lvl w:ilvl="0" w:tplc="1809000F">
      <w:start w:val="1"/>
      <w:numFmt w:val="decimal"/>
      <w:lvlText w:val="%1."/>
      <w:lvlJc w:val="left"/>
      <w:pPr>
        <w:ind w:left="360" w:hanging="360"/>
      </w:pPr>
      <w:rPr>
        <w:rFonts w:hint="default"/>
        <w:color w:val="1F497D"/>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62948F6"/>
    <w:multiLevelType w:val="hybridMultilevel"/>
    <w:tmpl w:val="7DB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E65A30"/>
    <w:multiLevelType w:val="hybridMultilevel"/>
    <w:tmpl w:val="CAA46C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C708B3"/>
    <w:multiLevelType w:val="hybridMultilevel"/>
    <w:tmpl w:val="CA247FA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33004502"/>
    <w:multiLevelType w:val="hybridMultilevel"/>
    <w:tmpl w:val="55703A9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4F56499A"/>
    <w:multiLevelType w:val="hybridMultilevel"/>
    <w:tmpl w:val="574A3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3E4146F"/>
    <w:multiLevelType w:val="hybridMultilevel"/>
    <w:tmpl w:val="33CCA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B957344"/>
    <w:multiLevelType w:val="hybridMultilevel"/>
    <w:tmpl w:val="AC3861DE"/>
    <w:lvl w:ilvl="0" w:tplc="18090001">
      <w:start w:val="1"/>
      <w:numFmt w:val="bullet"/>
      <w:lvlText w:val=""/>
      <w:lvlJc w:val="left"/>
      <w:pPr>
        <w:ind w:left="360" w:hanging="360"/>
      </w:pPr>
      <w:rPr>
        <w:rFonts w:ascii="Symbol" w:hAnsi="Symbol" w:hint="default"/>
        <w:color w:val="1F497D"/>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6D8966C9"/>
    <w:multiLevelType w:val="hybridMultilevel"/>
    <w:tmpl w:val="F7C25E7C"/>
    <w:lvl w:ilvl="0" w:tplc="18090007">
      <w:start w:val="1"/>
      <w:numFmt w:val="bullet"/>
      <w:lvlText w:val=""/>
      <w:lvlPicBulletId w:val="0"/>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6EC95DA2"/>
    <w:multiLevelType w:val="hybridMultilevel"/>
    <w:tmpl w:val="A3D261E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nsid w:val="7B011FAB"/>
    <w:multiLevelType w:val="hybridMultilevel"/>
    <w:tmpl w:val="25AEE6D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CC575F5"/>
    <w:multiLevelType w:val="hybridMultilevel"/>
    <w:tmpl w:val="0268B3E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nsid w:val="7D9C24E8"/>
    <w:multiLevelType w:val="hybridMultilevel"/>
    <w:tmpl w:val="A614E246"/>
    <w:lvl w:ilvl="0" w:tplc="1809000F">
      <w:start w:val="1"/>
      <w:numFmt w:val="decimal"/>
      <w:lvlText w:val="%1."/>
      <w:lvlJc w:val="left"/>
      <w:pPr>
        <w:ind w:left="786"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12"/>
  </w:num>
  <w:num w:numId="2">
    <w:abstractNumId w:val="7"/>
  </w:num>
  <w:num w:numId="3">
    <w:abstractNumId w:val="3"/>
  </w:num>
  <w:num w:numId="4">
    <w:abstractNumId w:val="11"/>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6"/>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A6610D"/>
    <w:rsid w:val="000440F1"/>
    <w:rsid w:val="00090178"/>
    <w:rsid w:val="00147FFC"/>
    <w:rsid w:val="00163DD9"/>
    <w:rsid w:val="001948A4"/>
    <w:rsid w:val="001A092F"/>
    <w:rsid w:val="001C17AF"/>
    <w:rsid w:val="001C5752"/>
    <w:rsid w:val="00203BF5"/>
    <w:rsid w:val="00283706"/>
    <w:rsid w:val="002D0A1F"/>
    <w:rsid w:val="002D75FD"/>
    <w:rsid w:val="00305BCA"/>
    <w:rsid w:val="00327EBF"/>
    <w:rsid w:val="00364E12"/>
    <w:rsid w:val="003A6FC2"/>
    <w:rsid w:val="004478E6"/>
    <w:rsid w:val="00454ABB"/>
    <w:rsid w:val="004B3DE5"/>
    <w:rsid w:val="004B3EF0"/>
    <w:rsid w:val="004C36F3"/>
    <w:rsid w:val="004E2987"/>
    <w:rsid w:val="004F762A"/>
    <w:rsid w:val="005201E5"/>
    <w:rsid w:val="005641FC"/>
    <w:rsid w:val="00565514"/>
    <w:rsid w:val="00570233"/>
    <w:rsid w:val="005A7E71"/>
    <w:rsid w:val="005E7D8A"/>
    <w:rsid w:val="005F227F"/>
    <w:rsid w:val="00626865"/>
    <w:rsid w:val="0063430D"/>
    <w:rsid w:val="0063513D"/>
    <w:rsid w:val="006B52C4"/>
    <w:rsid w:val="006F7613"/>
    <w:rsid w:val="00741C3C"/>
    <w:rsid w:val="007878C6"/>
    <w:rsid w:val="007D34D7"/>
    <w:rsid w:val="00804263"/>
    <w:rsid w:val="00820CF1"/>
    <w:rsid w:val="00834662"/>
    <w:rsid w:val="00842EC6"/>
    <w:rsid w:val="008C4CB8"/>
    <w:rsid w:val="0091714D"/>
    <w:rsid w:val="00920FC5"/>
    <w:rsid w:val="00956653"/>
    <w:rsid w:val="00994EAF"/>
    <w:rsid w:val="009C28D9"/>
    <w:rsid w:val="009E5286"/>
    <w:rsid w:val="009F274E"/>
    <w:rsid w:val="009F6CC6"/>
    <w:rsid w:val="00A20245"/>
    <w:rsid w:val="00A3197E"/>
    <w:rsid w:val="00A6610D"/>
    <w:rsid w:val="00A87388"/>
    <w:rsid w:val="00AC457F"/>
    <w:rsid w:val="00AC4C03"/>
    <w:rsid w:val="00AF0CFA"/>
    <w:rsid w:val="00B45893"/>
    <w:rsid w:val="00B716D2"/>
    <w:rsid w:val="00B9335E"/>
    <w:rsid w:val="00BC1561"/>
    <w:rsid w:val="00BC41F3"/>
    <w:rsid w:val="00C50445"/>
    <w:rsid w:val="00C60900"/>
    <w:rsid w:val="00C902CD"/>
    <w:rsid w:val="00D2532C"/>
    <w:rsid w:val="00D45AB0"/>
    <w:rsid w:val="00DA70BF"/>
    <w:rsid w:val="00DB5C93"/>
    <w:rsid w:val="00DE3ECC"/>
    <w:rsid w:val="00E56C02"/>
    <w:rsid w:val="00EA2F8B"/>
    <w:rsid w:val="00EE1E09"/>
    <w:rsid w:val="00F14AAE"/>
    <w:rsid w:val="00F36777"/>
    <w:rsid w:val="00F76828"/>
    <w:rsid w:val="00FB2E53"/>
    <w:rsid w:val="00FD20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00"/>
    <w:rPr>
      <w:sz w:val="24"/>
      <w:szCs w:val="24"/>
      <w:lang w:eastAsia="en-US"/>
    </w:rPr>
  </w:style>
  <w:style w:type="paragraph" w:styleId="Heading3">
    <w:name w:val="heading 3"/>
    <w:basedOn w:val="Normal"/>
    <w:next w:val="Normal"/>
    <w:link w:val="Heading3Char"/>
    <w:uiPriority w:val="9"/>
    <w:semiHidden/>
    <w:unhideWhenUsed/>
    <w:qFormat/>
    <w:rsid w:val="0028370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900"/>
    <w:pPr>
      <w:tabs>
        <w:tab w:val="center" w:pos="4153"/>
        <w:tab w:val="right" w:pos="8306"/>
      </w:tabs>
    </w:pPr>
  </w:style>
  <w:style w:type="paragraph" w:styleId="Footer">
    <w:name w:val="footer"/>
    <w:basedOn w:val="Normal"/>
    <w:semiHidden/>
    <w:rsid w:val="00C60900"/>
    <w:pPr>
      <w:tabs>
        <w:tab w:val="center" w:pos="4153"/>
        <w:tab w:val="right" w:pos="8306"/>
      </w:tabs>
    </w:pPr>
  </w:style>
  <w:style w:type="character" w:styleId="Hyperlink">
    <w:name w:val="Hyperlink"/>
    <w:uiPriority w:val="99"/>
    <w:unhideWhenUsed/>
    <w:rsid w:val="002D75FD"/>
    <w:rPr>
      <w:color w:val="0000FF"/>
      <w:u w:val="single"/>
    </w:rPr>
  </w:style>
  <w:style w:type="character" w:customStyle="1" w:styleId="Heading3Char">
    <w:name w:val="Heading 3 Char"/>
    <w:link w:val="Heading3"/>
    <w:uiPriority w:val="9"/>
    <w:semiHidden/>
    <w:rsid w:val="00283706"/>
    <w:rPr>
      <w:rFonts w:ascii="Cambria" w:eastAsia="Times New Roman" w:hAnsi="Cambria" w:cs="Times New Roman"/>
      <w:b/>
      <w:bCs/>
      <w:color w:val="4F81BD"/>
      <w:sz w:val="22"/>
      <w:szCs w:val="22"/>
      <w:lang w:eastAsia="en-US"/>
    </w:rPr>
  </w:style>
  <w:style w:type="paragraph" w:styleId="ListParagraph">
    <w:name w:val="List Paragraph"/>
    <w:basedOn w:val="Normal"/>
    <w:uiPriority w:val="34"/>
    <w:qFormat/>
    <w:rsid w:val="00283706"/>
    <w:pPr>
      <w:spacing w:after="200" w:line="276" w:lineRule="auto"/>
      <w:ind w:left="720"/>
      <w:contextualSpacing/>
    </w:pPr>
    <w:rPr>
      <w:rFonts w:ascii="Calibri" w:eastAsia="Calibri" w:hAnsi="Calibri"/>
      <w:sz w:val="22"/>
      <w:szCs w:val="22"/>
    </w:rPr>
  </w:style>
  <w:style w:type="paragraph" w:customStyle="1" w:styleId="LECaption">
    <w:name w:val="LE Caption"/>
    <w:basedOn w:val="Normal"/>
    <w:qFormat/>
    <w:rsid w:val="00283706"/>
    <w:pPr>
      <w:keepNext/>
      <w:keepLines/>
      <w:tabs>
        <w:tab w:val="left" w:pos="906"/>
      </w:tabs>
      <w:suppressAutoHyphens/>
      <w:spacing w:before="60" w:after="60"/>
      <w:ind w:left="906" w:hanging="906"/>
    </w:pPr>
    <w:rPr>
      <w:rFonts w:ascii="Calibri" w:hAnsi="Calibri" w:cs="Microsoft Sans Serif"/>
      <w:b/>
      <w:noProof/>
      <w:color w:val="FFFFFF"/>
      <w:sz w:val="22"/>
      <w:szCs w:val="22"/>
      <w:lang w:val="en-US"/>
    </w:rPr>
  </w:style>
  <w:style w:type="table" w:styleId="TableGrid">
    <w:name w:val="Table Grid"/>
    <w:basedOn w:val="TableNormal"/>
    <w:rsid w:val="00283706"/>
    <w:pPr>
      <w:spacing w:after="120"/>
      <w:jc w:val="both"/>
    </w:pPr>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6FC2"/>
    <w:rPr>
      <w:rFonts w:ascii="Calibri" w:eastAsia="Calibri" w:hAnsi="Calibri"/>
      <w:sz w:val="20"/>
      <w:szCs w:val="20"/>
    </w:rPr>
  </w:style>
  <w:style w:type="character" w:customStyle="1" w:styleId="FootnoteTextChar">
    <w:name w:val="Footnote Text Char"/>
    <w:link w:val="FootnoteText"/>
    <w:uiPriority w:val="99"/>
    <w:semiHidden/>
    <w:rsid w:val="003A6FC2"/>
    <w:rPr>
      <w:rFonts w:ascii="Calibri" w:eastAsia="Calibri" w:hAnsi="Calibri" w:cs="Times New Roman"/>
      <w:lang w:eastAsia="en-US"/>
    </w:rPr>
  </w:style>
  <w:style w:type="character" w:styleId="FootnoteReference">
    <w:name w:val="footnote reference"/>
    <w:uiPriority w:val="99"/>
    <w:semiHidden/>
    <w:unhideWhenUsed/>
    <w:rsid w:val="003A6FC2"/>
    <w:rPr>
      <w:vertAlign w:val="superscript"/>
    </w:rPr>
  </w:style>
  <w:style w:type="paragraph" w:customStyle="1" w:styleId="Default">
    <w:name w:val="Default"/>
    <w:rsid w:val="00820CF1"/>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42EC6"/>
    <w:rPr>
      <w:sz w:val="24"/>
      <w:szCs w:val="24"/>
      <w:lang w:eastAsia="en-US"/>
    </w:rPr>
  </w:style>
  <w:style w:type="paragraph" w:styleId="BalloonText">
    <w:name w:val="Balloon Text"/>
    <w:basedOn w:val="Normal"/>
    <w:link w:val="BalloonTextChar"/>
    <w:uiPriority w:val="99"/>
    <w:semiHidden/>
    <w:unhideWhenUsed/>
    <w:rsid w:val="00842EC6"/>
    <w:rPr>
      <w:rFonts w:ascii="Tahoma" w:hAnsi="Tahoma"/>
      <w:sz w:val="16"/>
      <w:szCs w:val="16"/>
    </w:rPr>
  </w:style>
  <w:style w:type="character" w:customStyle="1" w:styleId="BalloonTextChar">
    <w:name w:val="Balloon Text Char"/>
    <w:link w:val="BalloonText"/>
    <w:uiPriority w:val="99"/>
    <w:semiHidden/>
    <w:rsid w:val="00842EC6"/>
    <w:rPr>
      <w:rFonts w:ascii="Tahoma" w:hAnsi="Tahoma" w:cs="Tahoma"/>
      <w:sz w:val="16"/>
      <w:szCs w:val="16"/>
      <w:lang w:eastAsia="en-US"/>
    </w:rPr>
  </w:style>
  <w:style w:type="paragraph" w:styleId="NoSpacing">
    <w:name w:val="No Spacing"/>
    <w:link w:val="NoSpacingChar"/>
    <w:uiPriority w:val="1"/>
    <w:qFormat/>
    <w:rsid w:val="001A092F"/>
    <w:rPr>
      <w:rFonts w:ascii="Calibri" w:eastAsia="MS Mincho" w:hAnsi="Calibri"/>
      <w:sz w:val="22"/>
      <w:szCs w:val="22"/>
      <w:lang w:val="en-US" w:eastAsia="ja-JP"/>
    </w:rPr>
  </w:style>
  <w:style w:type="character" w:customStyle="1" w:styleId="NoSpacingChar">
    <w:name w:val="No Spacing Char"/>
    <w:link w:val="NoSpacing"/>
    <w:uiPriority w:val="1"/>
    <w:rsid w:val="001A092F"/>
    <w:rPr>
      <w:rFonts w:ascii="Calibri" w:eastAsia="MS Mincho" w:hAnsi="Calibri"/>
      <w:sz w:val="22"/>
      <w:szCs w:val="22"/>
      <w:lang w:val="en-US" w:eastAsia="ja-JP" w:bidi="ar-SA"/>
    </w:rPr>
  </w:style>
  <w:style w:type="character" w:styleId="CommentReference">
    <w:name w:val="annotation reference"/>
    <w:uiPriority w:val="99"/>
    <w:semiHidden/>
    <w:unhideWhenUsed/>
    <w:rsid w:val="00F36777"/>
    <w:rPr>
      <w:sz w:val="16"/>
      <w:szCs w:val="16"/>
    </w:rPr>
  </w:style>
  <w:style w:type="paragraph" w:styleId="CommentText">
    <w:name w:val="annotation text"/>
    <w:basedOn w:val="Normal"/>
    <w:link w:val="CommentTextChar"/>
    <w:uiPriority w:val="99"/>
    <w:semiHidden/>
    <w:unhideWhenUsed/>
    <w:rsid w:val="00F36777"/>
    <w:rPr>
      <w:sz w:val="20"/>
      <w:szCs w:val="20"/>
    </w:rPr>
  </w:style>
  <w:style w:type="character" w:customStyle="1" w:styleId="CommentTextChar">
    <w:name w:val="Comment Text Char"/>
    <w:link w:val="CommentText"/>
    <w:uiPriority w:val="99"/>
    <w:semiHidden/>
    <w:rsid w:val="00F36777"/>
    <w:rPr>
      <w:lang w:eastAsia="en-US"/>
    </w:rPr>
  </w:style>
  <w:style w:type="paragraph" w:styleId="CommentSubject">
    <w:name w:val="annotation subject"/>
    <w:basedOn w:val="CommentText"/>
    <w:next w:val="CommentText"/>
    <w:link w:val="CommentSubjectChar"/>
    <w:uiPriority w:val="99"/>
    <w:semiHidden/>
    <w:unhideWhenUsed/>
    <w:rsid w:val="00F36777"/>
    <w:rPr>
      <w:b/>
      <w:bCs/>
    </w:rPr>
  </w:style>
  <w:style w:type="character" w:customStyle="1" w:styleId="CommentSubjectChar">
    <w:name w:val="Comment Subject Char"/>
    <w:link w:val="CommentSubject"/>
    <w:uiPriority w:val="99"/>
    <w:semiHidden/>
    <w:rsid w:val="00F36777"/>
    <w:rPr>
      <w:b/>
      <w:bCs/>
      <w:lang w:eastAsia="en-US"/>
    </w:rPr>
  </w:style>
  <w:style w:type="character" w:styleId="FollowedHyperlink">
    <w:name w:val="FollowedHyperlink"/>
    <w:uiPriority w:val="99"/>
    <w:semiHidden/>
    <w:unhideWhenUsed/>
    <w:rsid w:val="005A7E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00"/>
    <w:rPr>
      <w:sz w:val="24"/>
      <w:szCs w:val="24"/>
      <w:lang w:eastAsia="en-US"/>
    </w:rPr>
  </w:style>
  <w:style w:type="paragraph" w:styleId="Heading3">
    <w:name w:val="heading 3"/>
    <w:basedOn w:val="Normal"/>
    <w:next w:val="Normal"/>
    <w:link w:val="Heading3Char"/>
    <w:uiPriority w:val="9"/>
    <w:semiHidden/>
    <w:unhideWhenUsed/>
    <w:qFormat/>
    <w:rsid w:val="0028370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900"/>
    <w:pPr>
      <w:tabs>
        <w:tab w:val="center" w:pos="4153"/>
        <w:tab w:val="right" w:pos="8306"/>
      </w:tabs>
    </w:pPr>
  </w:style>
  <w:style w:type="paragraph" w:styleId="Footer">
    <w:name w:val="footer"/>
    <w:basedOn w:val="Normal"/>
    <w:semiHidden/>
    <w:rsid w:val="00C60900"/>
    <w:pPr>
      <w:tabs>
        <w:tab w:val="center" w:pos="4153"/>
        <w:tab w:val="right" w:pos="8306"/>
      </w:tabs>
    </w:pPr>
  </w:style>
  <w:style w:type="character" w:styleId="Hyperlink">
    <w:name w:val="Hyperlink"/>
    <w:uiPriority w:val="99"/>
    <w:unhideWhenUsed/>
    <w:rsid w:val="002D75FD"/>
    <w:rPr>
      <w:color w:val="0000FF"/>
      <w:u w:val="single"/>
    </w:rPr>
  </w:style>
  <w:style w:type="character" w:customStyle="1" w:styleId="Heading3Char">
    <w:name w:val="Heading 3 Char"/>
    <w:link w:val="Heading3"/>
    <w:uiPriority w:val="9"/>
    <w:semiHidden/>
    <w:rsid w:val="00283706"/>
    <w:rPr>
      <w:rFonts w:ascii="Cambria" w:eastAsia="Times New Roman" w:hAnsi="Cambria" w:cs="Times New Roman"/>
      <w:b/>
      <w:bCs/>
      <w:color w:val="4F81BD"/>
      <w:sz w:val="22"/>
      <w:szCs w:val="22"/>
      <w:lang w:eastAsia="en-US"/>
    </w:rPr>
  </w:style>
  <w:style w:type="paragraph" w:styleId="ListParagraph">
    <w:name w:val="List Paragraph"/>
    <w:basedOn w:val="Normal"/>
    <w:uiPriority w:val="34"/>
    <w:qFormat/>
    <w:rsid w:val="00283706"/>
    <w:pPr>
      <w:spacing w:after="200" w:line="276" w:lineRule="auto"/>
      <w:ind w:left="720"/>
      <w:contextualSpacing/>
    </w:pPr>
    <w:rPr>
      <w:rFonts w:ascii="Calibri" w:eastAsia="Calibri" w:hAnsi="Calibri"/>
      <w:sz w:val="22"/>
      <w:szCs w:val="22"/>
    </w:rPr>
  </w:style>
  <w:style w:type="paragraph" w:customStyle="1" w:styleId="LECaption">
    <w:name w:val="LE Caption"/>
    <w:basedOn w:val="Normal"/>
    <w:qFormat/>
    <w:rsid w:val="00283706"/>
    <w:pPr>
      <w:keepNext/>
      <w:keepLines/>
      <w:tabs>
        <w:tab w:val="left" w:pos="906"/>
      </w:tabs>
      <w:suppressAutoHyphens/>
      <w:spacing w:before="60" w:after="60"/>
      <w:ind w:left="906" w:hanging="906"/>
    </w:pPr>
    <w:rPr>
      <w:rFonts w:ascii="Calibri" w:hAnsi="Calibri" w:cs="Microsoft Sans Serif"/>
      <w:b/>
      <w:noProof/>
      <w:color w:val="FFFFFF"/>
      <w:sz w:val="22"/>
      <w:szCs w:val="22"/>
      <w:lang w:val="en-US"/>
    </w:rPr>
  </w:style>
  <w:style w:type="table" w:styleId="TableGrid">
    <w:name w:val="Table Grid"/>
    <w:basedOn w:val="TableNormal"/>
    <w:rsid w:val="00283706"/>
    <w:pPr>
      <w:spacing w:after="120"/>
      <w:jc w:val="both"/>
    </w:pPr>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6FC2"/>
    <w:rPr>
      <w:rFonts w:ascii="Calibri" w:eastAsia="Calibri" w:hAnsi="Calibri"/>
      <w:sz w:val="20"/>
      <w:szCs w:val="20"/>
    </w:rPr>
  </w:style>
  <w:style w:type="character" w:customStyle="1" w:styleId="FootnoteTextChar">
    <w:name w:val="Footnote Text Char"/>
    <w:link w:val="FootnoteText"/>
    <w:uiPriority w:val="99"/>
    <w:semiHidden/>
    <w:rsid w:val="003A6FC2"/>
    <w:rPr>
      <w:rFonts w:ascii="Calibri" w:eastAsia="Calibri" w:hAnsi="Calibri" w:cs="Times New Roman"/>
      <w:lang w:eastAsia="en-US"/>
    </w:rPr>
  </w:style>
  <w:style w:type="character" w:styleId="FootnoteReference">
    <w:name w:val="footnote reference"/>
    <w:uiPriority w:val="99"/>
    <w:semiHidden/>
    <w:unhideWhenUsed/>
    <w:rsid w:val="003A6FC2"/>
    <w:rPr>
      <w:vertAlign w:val="superscript"/>
    </w:rPr>
  </w:style>
  <w:style w:type="paragraph" w:customStyle="1" w:styleId="Default">
    <w:name w:val="Default"/>
    <w:rsid w:val="00820CF1"/>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42EC6"/>
    <w:rPr>
      <w:sz w:val="24"/>
      <w:szCs w:val="24"/>
      <w:lang w:eastAsia="en-US"/>
    </w:rPr>
  </w:style>
  <w:style w:type="paragraph" w:styleId="BalloonText">
    <w:name w:val="Balloon Text"/>
    <w:basedOn w:val="Normal"/>
    <w:link w:val="BalloonTextChar"/>
    <w:uiPriority w:val="99"/>
    <w:semiHidden/>
    <w:unhideWhenUsed/>
    <w:rsid w:val="00842EC6"/>
    <w:rPr>
      <w:rFonts w:ascii="Tahoma" w:hAnsi="Tahoma"/>
      <w:sz w:val="16"/>
      <w:szCs w:val="16"/>
    </w:rPr>
  </w:style>
  <w:style w:type="character" w:customStyle="1" w:styleId="BalloonTextChar">
    <w:name w:val="Balloon Text Char"/>
    <w:link w:val="BalloonText"/>
    <w:uiPriority w:val="99"/>
    <w:semiHidden/>
    <w:rsid w:val="00842EC6"/>
    <w:rPr>
      <w:rFonts w:ascii="Tahoma" w:hAnsi="Tahoma" w:cs="Tahoma"/>
      <w:sz w:val="16"/>
      <w:szCs w:val="16"/>
      <w:lang w:eastAsia="en-US"/>
    </w:rPr>
  </w:style>
  <w:style w:type="paragraph" w:styleId="NoSpacing">
    <w:name w:val="No Spacing"/>
    <w:link w:val="NoSpacingChar"/>
    <w:uiPriority w:val="1"/>
    <w:qFormat/>
    <w:rsid w:val="001A092F"/>
    <w:rPr>
      <w:rFonts w:ascii="Calibri" w:eastAsia="MS Mincho" w:hAnsi="Calibri"/>
      <w:sz w:val="22"/>
      <w:szCs w:val="22"/>
      <w:lang w:val="en-US" w:eastAsia="ja-JP"/>
    </w:rPr>
  </w:style>
  <w:style w:type="character" w:customStyle="1" w:styleId="NoSpacingChar">
    <w:name w:val="No Spacing Char"/>
    <w:link w:val="NoSpacing"/>
    <w:uiPriority w:val="1"/>
    <w:rsid w:val="001A092F"/>
    <w:rPr>
      <w:rFonts w:ascii="Calibri" w:eastAsia="MS Mincho" w:hAnsi="Calibri"/>
      <w:sz w:val="22"/>
      <w:szCs w:val="22"/>
      <w:lang w:val="en-US" w:eastAsia="ja-JP" w:bidi="ar-SA"/>
    </w:rPr>
  </w:style>
  <w:style w:type="character" w:styleId="CommentReference">
    <w:name w:val="annotation reference"/>
    <w:uiPriority w:val="99"/>
    <w:semiHidden/>
    <w:unhideWhenUsed/>
    <w:rsid w:val="00F36777"/>
    <w:rPr>
      <w:sz w:val="16"/>
      <w:szCs w:val="16"/>
    </w:rPr>
  </w:style>
  <w:style w:type="paragraph" w:styleId="CommentText">
    <w:name w:val="annotation text"/>
    <w:basedOn w:val="Normal"/>
    <w:link w:val="CommentTextChar"/>
    <w:uiPriority w:val="99"/>
    <w:semiHidden/>
    <w:unhideWhenUsed/>
    <w:rsid w:val="00F36777"/>
    <w:rPr>
      <w:sz w:val="20"/>
      <w:szCs w:val="20"/>
    </w:rPr>
  </w:style>
  <w:style w:type="character" w:customStyle="1" w:styleId="CommentTextChar">
    <w:name w:val="Comment Text Char"/>
    <w:link w:val="CommentText"/>
    <w:uiPriority w:val="99"/>
    <w:semiHidden/>
    <w:rsid w:val="00F36777"/>
    <w:rPr>
      <w:lang w:eastAsia="en-US"/>
    </w:rPr>
  </w:style>
  <w:style w:type="paragraph" w:styleId="CommentSubject">
    <w:name w:val="annotation subject"/>
    <w:basedOn w:val="CommentText"/>
    <w:next w:val="CommentText"/>
    <w:link w:val="CommentSubjectChar"/>
    <w:uiPriority w:val="99"/>
    <w:semiHidden/>
    <w:unhideWhenUsed/>
    <w:rsid w:val="00F36777"/>
    <w:rPr>
      <w:b/>
      <w:bCs/>
    </w:rPr>
  </w:style>
  <w:style w:type="character" w:customStyle="1" w:styleId="CommentSubjectChar">
    <w:name w:val="Comment Subject Char"/>
    <w:link w:val="CommentSubject"/>
    <w:uiPriority w:val="99"/>
    <w:semiHidden/>
    <w:rsid w:val="00F36777"/>
    <w:rPr>
      <w:b/>
      <w:bCs/>
      <w:lang w:eastAsia="en-US"/>
    </w:rPr>
  </w:style>
  <w:style w:type="character" w:styleId="FollowedHyperlink">
    <w:name w:val="FollowedHyperlink"/>
    <w:uiPriority w:val="99"/>
    <w:semiHidden/>
    <w:unhideWhenUsed/>
    <w:rsid w:val="005A7E71"/>
    <w:rPr>
      <w:color w:val="800080"/>
      <w:u w:val="single"/>
    </w:rPr>
  </w:style>
</w:styles>
</file>

<file path=word/webSettings.xml><?xml version="1.0" encoding="utf-8"?>
<w:webSettings xmlns:r="http://schemas.openxmlformats.org/officeDocument/2006/relationships" xmlns:w="http://schemas.openxmlformats.org/wordprocessingml/2006/main">
  <w:divs>
    <w:div w:id="322592233">
      <w:bodyDiv w:val="1"/>
      <w:marLeft w:val="0"/>
      <w:marRight w:val="0"/>
      <w:marTop w:val="0"/>
      <w:marBottom w:val="0"/>
      <w:divBdr>
        <w:top w:val="none" w:sz="0" w:space="0" w:color="auto"/>
        <w:left w:val="none" w:sz="0" w:space="0" w:color="auto"/>
        <w:bottom w:val="none" w:sz="0" w:space="0" w:color="auto"/>
        <w:right w:val="none" w:sz="0" w:space="0" w:color="auto"/>
      </w:divBdr>
    </w:div>
    <w:div w:id="11651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griculture.gov.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inancialinstruments@agriculture.gov.ie" TargetMode="External"/><Relationship Id="rId17" Type="http://schemas.openxmlformats.org/officeDocument/2006/relationships/hyperlink" Target="mailto:financialinstruments@agriculture.gov.ie" TargetMode="External"/><Relationship Id="rId2" Type="http://schemas.openxmlformats.org/officeDocument/2006/relationships/numbering" Target="numbering.xml"/><Relationship Id="rId16" Type="http://schemas.openxmlformats.org/officeDocument/2006/relationships/hyperlink" Target="https://www.agriculture.gov.ie/ruralenvironment/ruraldevelopmentprogrammerdp2014-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agriculture.gov.ie/emff/"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griculture.gov.ie/ruralenvironment/ruraldevelopmentprogrammerdp2014-2020/"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3R1303&amp;rid=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EB82A-8FE8-4ED3-A819-1981E2EC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Financial Instruments- Public Consultation Paper</vt:lpstr>
    </vt:vector>
  </TitlesOfParts>
  <Company>Department of Agriculture, Food and the Marine</Company>
  <LinksUpToDate>false</LinksUpToDate>
  <CharactersWithSpaces>13797</CharactersWithSpaces>
  <SharedDoc>false</SharedDoc>
  <HLinks>
    <vt:vector size="36" baseType="variant">
      <vt:variant>
        <vt:i4>4718636</vt:i4>
      </vt:variant>
      <vt:variant>
        <vt:i4>12</vt:i4>
      </vt:variant>
      <vt:variant>
        <vt:i4>0</vt:i4>
      </vt:variant>
      <vt:variant>
        <vt:i4>5</vt:i4>
      </vt:variant>
      <vt:variant>
        <vt:lpwstr>mailto:financialinstruments@agriculture.gov.ie</vt:lpwstr>
      </vt:variant>
      <vt:variant>
        <vt:lpwstr/>
      </vt:variant>
      <vt:variant>
        <vt:i4>8060964</vt:i4>
      </vt:variant>
      <vt:variant>
        <vt:i4>9</vt:i4>
      </vt:variant>
      <vt:variant>
        <vt:i4>0</vt:i4>
      </vt:variant>
      <vt:variant>
        <vt:i4>5</vt:i4>
      </vt:variant>
      <vt:variant>
        <vt:lpwstr>http://www.agriculture.gov.ie/emff/</vt:lpwstr>
      </vt:variant>
      <vt:variant>
        <vt:lpwstr/>
      </vt:variant>
      <vt:variant>
        <vt:i4>2883646</vt:i4>
      </vt:variant>
      <vt:variant>
        <vt:i4>6</vt:i4>
      </vt:variant>
      <vt:variant>
        <vt:i4>0</vt:i4>
      </vt:variant>
      <vt:variant>
        <vt:i4>5</vt:i4>
      </vt:variant>
      <vt:variant>
        <vt:lpwstr>https://www.agriculture.gov.ie/ruralenvironment/ruraldevelopmentprogrammerdp2014-2020/</vt:lpwstr>
      </vt:variant>
      <vt:variant>
        <vt:lpwstr/>
      </vt:variant>
      <vt:variant>
        <vt:i4>7340071</vt:i4>
      </vt:variant>
      <vt:variant>
        <vt:i4>3</vt:i4>
      </vt:variant>
      <vt:variant>
        <vt:i4>0</vt:i4>
      </vt:variant>
      <vt:variant>
        <vt:i4>5</vt:i4>
      </vt:variant>
      <vt:variant>
        <vt:lpwstr>http://www.agriculture.gov.ie/</vt:lpwstr>
      </vt:variant>
      <vt:variant>
        <vt:lpwstr/>
      </vt:variant>
      <vt:variant>
        <vt:i4>4718636</vt:i4>
      </vt:variant>
      <vt:variant>
        <vt:i4>0</vt:i4>
      </vt:variant>
      <vt:variant>
        <vt:i4>0</vt:i4>
      </vt:variant>
      <vt:variant>
        <vt:i4>5</vt:i4>
      </vt:variant>
      <vt:variant>
        <vt:lpwstr>mailto:financialinstruments@agriculture.gov.ie</vt:lpwstr>
      </vt:variant>
      <vt:variant>
        <vt:lpwstr/>
      </vt:variant>
      <vt:variant>
        <vt:i4>1114125</vt:i4>
      </vt:variant>
      <vt:variant>
        <vt:i4>0</vt:i4>
      </vt:variant>
      <vt:variant>
        <vt:i4>0</vt:i4>
      </vt:variant>
      <vt:variant>
        <vt:i4>5</vt:i4>
      </vt:variant>
      <vt:variant>
        <vt:lpwstr>http://eur-lex.europa.eu/legal-content/EN/TXT/PDF/?uri=CELEX:32013R1303&amp;rid=1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Instruments- Public Consultation Paper</dc:title>
  <dc:creator>annmarie.kearney</dc:creator>
  <cp:lastModifiedBy>Carmel.Delahunt</cp:lastModifiedBy>
  <cp:revision>2</cp:revision>
  <cp:lastPrinted>2017-08-31T10:38:00Z</cp:lastPrinted>
  <dcterms:created xsi:type="dcterms:W3CDTF">2020-11-20T10:09:00Z</dcterms:created>
  <dcterms:modified xsi:type="dcterms:W3CDTF">2020-11-20T10:09:00Z</dcterms:modified>
</cp:coreProperties>
</file>