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140F0" w14:textId="77777777" w:rsidR="001D0647" w:rsidRPr="00B6553D" w:rsidRDefault="001D0647" w:rsidP="00125BF2">
      <w:pPr>
        <w:pStyle w:val="Default"/>
        <w:spacing w:after="160" w:line="259" w:lineRule="auto"/>
        <w:jc w:val="center"/>
        <w:rPr>
          <w:rFonts w:ascii="Calibri" w:hAnsi="Calibri" w:cs="Calibri"/>
        </w:rPr>
      </w:pPr>
      <w:bookmarkStart w:id="0" w:name="_GoBack"/>
      <w:bookmarkEnd w:id="0"/>
    </w:p>
    <w:p w14:paraId="184836D5" w14:textId="77777777" w:rsidR="004103B8" w:rsidRDefault="001D0647" w:rsidP="004103B8">
      <w:pPr>
        <w:jc w:val="center"/>
        <w:rPr>
          <w:rFonts w:ascii="Calibri" w:hAnsi="Calibri" w:cs="Calibri"/>
          <w:b/>
          <w:sz w:val="24"/>
          <w:szCs w:val="24"/>
        </w:rPr>
      </w:pPr>
      <w:r w:rsidRPr="00B6553D">
        <w:rPr>
          <w:rFonts w:ascii="Calibri" w:hAnsi="Calibri" w:cs="Calibri"/>
          <w:b/>
          <w:sz w:val="24"/>
          <w:szCs w:val="24"/>
        </w:rPr>
        <w:t xml:space="preserve">Arts &amp; Culture Recovery Taskforce </w:t>
      </w:r>
    </w:p>
    <w:p w14:paraId="0E152A5F" w14:textId="15CB220D" w:rsidR="001D0647" w:rsidRPr="00B6553D" w:rsidRDefault="004103B8" w:rsidP="004103B8">
      <w:pPr>
        <w:jc w:val="center"/>
        <w:rPr>
          <w:rFonts w:ascii="Calibri" w:hAnsi="Calibri" w:cs="Calibri"/>
          <w:b/>
          <w:sz w:val="24"/>
          <w:szCs w:val="24"/>
        </w:rPr>
      </w:pPr>
      <w:r>
        <w:rPr>
          <w:rFonts w:ascii="Calibri" w:hAnsi="Calibri" w:cs="Calibri"/>
          <w:b/>
          <w:sz w:val="24"/>
          <w:szCs w:val="24"/>
        </w:rPr>
        <w:t>7</w:t>
      </w:r>
      <w:r w:rsidRPr="004103B8">
        <w:rPr>
          <w:rFonts w:ascii="Calibri" w:hAnsi="Calibri" w:cs="Calibri"/>
          <w:b/>
          <w:sz w:val="24"/>
          <w:szCs w:val="24"/>
          <w:vertAlign w:val="superscript"/>
        </w:rPr>
        <w:t>th</w:t>
      </w:r>
      <w:r>
        <w:rPr>
          <w:rFonts w:ascii="Calibri" w:hAnsi="Calibri" w:cs="Calibri"/>
          <w:b/>
          <w:sz w:val="24"/>
          <w:szCs w:val="24"/>
        </w:rPr>
        <w:t xml:space="preserve"> </w:t>
      </w:r>
      <w:r w:rsidR="001D0647" w:rsidRPr="00B6553D">
        <w:rPr>
          <w:rFonts w:ascii="Calibri" w:hAnsi="Calibri" w:cs="Calibri"/>
          <w:b/>
          <w:sz w:val="24"/>
          <w:szCs w:val="24"/>
        </w:rPr>
        <w:t xml:space="preserve">Meeting </w:t>
      </w:r>
    </w:p>
    <w:p w14:paraId="5D072699" w14:textId="7AD47D17" w:rsidR="001D0647" w:rsidRPr="00B6553D" w:rsidRDefault="004103B8" w:rsidP="00125BF2">
      <w:pPr>
        <w:jc w:val="center"/>
        <w:rPr>
          <w:rFonts w:ascii="Calibri" w:hAnsi="Calibri" w:cs="Calibri"/>
          <w:sz w:val="24"/>
          <w:szCs w:val="24"/>
        </w:rPr>
      </w:pPr>
      <w:r>
        <w:rPr>
          <w:rFonts w:ascii="Calibri" w:hAnsi="Calibri" w:cs="Calibri"/>
          <w:b/>
          <w:bCs/>
          <w:sz w:val="24"/>
          <w:szCs w:val="24"/>
        </w:rPr>
        <w:t>Tuesday 27</w:t>
      </w:r>
      <w:r w:rsidRPr="004103B8">
        <w:rPr>
          <w:rFonts w:ascii="Calibri" w:hAnsi="Calibri" w:cs="Calibri"/>
          <w:b/>
          <w:bCs/>
          <w:sz w:val="24"/>
          <w:szCs w:val="24"/>
          <w:vertAlign w:val="superscript"/>
        </w:rPr>
        <w:t>th</w:t>
      </w:r>
      <w:r>
        <w:rPr>
          <w:rFonts w:ascii="Calibri" w:hAnsi="Calibri" w:cs="Calibri"/>
          <w:b/>
          <w:bCs/>
          <w:sz w:val="24"/>
          <w:szCs w:val="24"/>
        </w:rPr>
        <w:t xml:space="preserve"> </w:t>
      </w:r>
      <w:r w:rsidR="00A821F0">
        <w:rPr>
          <w:rFonts w:ascii="Calibri" w:hAnsi="Calibri" w:cs="Calibri"/>
          <w:b/>
          <w:bCs/>
          <w:sz w:val="24"/>
          <w:szCs w:val="24"/>
        </w:rPr>
        <w:t>October</w:t>
      </w:r>
      <w:r w:rsidR="001D0647" w:rsidRPr="00B6553D">
        <w:rPr>
          <w:rFonts w:ascii="Calibri" w:hAnsi="Calibri" w:cs="Calibri"/>
          <w:b/>
          <w:bCs/>
          <w:sz w:val="24"/>
          <w:szCs w:val="24"/>
        </w:rPr>
        <w:t xml:space="preserve"> (via Remote VC)</w:t>
      </w:r>
    </w:p>
    <w:p w14:paraId="76609C3D" w14:textId="77777777" w:rsidR="007B48AE" w:rsidRPr="00B6553D" w:rsidRDefault="001D0647" w:rsidP="00125BF2">
      <w:pPr>
        <w:jc w:val="center"/>
        <w:rPr>
          <w:rFonts w:ascii="Calibri" w:hAnsi="Calibri" w:cs="Calibri"/>
          <w:b/>
          <w:bCs/>
          <w:sz w:val="24"/>
          <w:szCs w:val="24"/>
        </w:rPr>
      </w:pPr>
      <w:r w:rsidRPr="00B6553D">
        <w:rPr>
          <w:rFonts w:ascii="Calibri" w:hAnsi="Calibri" w:cs="Calibri"/>
          <w:b/>
          <w:bCs/>
          <w:sz w:val="24"/>
          <w:szCs w:val="24"/>
        </w:rPr>
        <w:t>Record of Meeting</w:t>
      </w:r>
    </w:p>
    <w:p w14:paraId="1C6CBE3E" w14:textId="77777777" w:rsidR="00BD125D" w:rsidRPr="00A713F5" w:rsidRDefault="00BD125D" w:rsidP="00DB102B">
      <w:pPr>
        <w:jc w:val="both"/>
        <w:rPr>
          <w:rFonts w:ascii="Calibri" w:hAnsi="Calibri"/>
          <w:sz w:val="24"/>
          <w:szCs w:val="24"/>
        </w:rPr>
      </w:pPr>
    </w:p>
    <w:p w14:paraId="5D95356A" w14:textId="011998F5" w:rsidR="00B6553D" w:rsidRPr="00973046" w:rsidRDefault="004103B8" w:rsidP="00125BF2">
      <w:pPr>
        <w:numPr>
          <w:ilvl w:val="0"/>
          <w:numId w:val="5"/>
        </w:numPr>
        <w:overflowPunct w:val="0"/>
        <w:autoSpaceDE w:val="0"/>
        <w:autoSpaceDN w:val="0"/>
        <w:adjustRightInd w:val="0"/>
        <w:ind w:left="0"/>
        <w:jc w:val="both"/>
        <w:rPr>
          <w:rFonts w:ascii="Calibri" w:hAnsi="Calibri"/>
          <w:b/>
          <w:sz w:val="24"/>
          <w:szCs w:val="24"/>
        </w:rPr>
      </w:pPr>
      <w:r>
        <w:rPr>
          <w:rFonts w:ascii="Calibri" w:hAnsi="Calibri"/>
          <w:b/>
          <w:sz w:val="24"/>
          <w:szCs w:val="24"/>
        </w:rPr>
        <w:t>Discussion on Final Recommendations</w:t>
      </w:r>
    </w:p>
    <w:p w14:paraId="6CDF7263" w14:textId="77777777" w:rsidR="006341AC" w:rsidRDefault="004103B8" w:rsidP="00125BF2">
      <w:pPr>
        <w:pStyle w:val="ListParagraph"/>
        <w:spacing w:after="160" w:line="259" w:lineRule="auto"/>
        <w:ind w:left="0"/>
        <w:jc w:val="both"/>
        <w:rPr>
          <w:rFonts w:ascii="Calibri" w:hAnsi="Calibri"/>
          <w:color w:val="auto"/>
          <w:szCs w:val="24"/>
        </w:rPr>
      </w:pPr>
      <w:r>
        <w:rPr>
          <w:rFonts w:ascii="Calibri" w:hAnsi="Calibri"/>
          <w:color w:val="auto"/>
          <w:szCs w:val="24"/>
        </w:rPr>
        <w:t>The taskforce had distilled their deliberations down to 10 recommendations and these had been apportioned under three themes: Ensuring Recovery; Building Resilience &amp; Facing Forward.  There was some discussion about where some of the recommendations might best sit and the order in which they appeared.  Each of the recommendations along with their accompanying Annex were</w:t>
      </w:r>
      <w:r w:rsidR="00AA5D8E">
        <w:rPr>
          <w:rFonts w:ascii="Calibri" w:hAnsi="Calibri"/>
          <w:color w:val="auto"/>
          <w:szCs w:val="24"/>
        </w:rPr>
        <w:t xml:space="preserve"> also</w:t>
      </w:r>
      <w:r>
        <w:rPr>
          <w:rFonts w:ascii="Calibri" w:hAnsi="Calibri"/>
          <w:color w:val="auto"/>
          <w:szCs w:val="24"/>
        </w:rPr>
        <w:t xml:space="preserve"> discussed. </w:t>
      </w:r>
      <w:r w:rsidR="00AA5D8E">
        <w:rPr>
          <w:rFonts w:ascii="Calibri" w:hAnsi="Calibri"/>
          <w:color w:val="auto"/>
          <w:szCs w:val="24"/>
        </w:rPr>
        <w:t xml:space="preserve">  The taskforce agreed to make some minor textual amendments on some of the recommendations and Annex material.  </w:t>
      </w:r>
    </w:p>
    <w:p w14:paraId="11FF77E1" w14:textId="77777777" w:rsidR="006341AC" w:rsidRDefault="006341AC" w:rsidP="00125BF2">
      <w:pPr>
        <w:pStyle w:val="ListParagraph"/>
        <w:spacing w:after="160" w:line="259" w:lineRule="auto"/>
        <w:ind w:left="0"/>
        <w:jc w:val="both"/>
        <w:rPr>
          <w:rFonts w:ascii="Calibri" w:hAnsi="Calibri"/>
          <w:color w:val="auto"/>
          <w:szCs w:val="24"/>
        </w:rPr>
      </w:pPr>
    </w:p>
    <w:p w14:paraId="3DEBDC3C" w14:textId="4B2FCD1C" w:rsidR="00BD125D" w:rsidRDefault="00AA5D8E" w:rsidP="00125BF2">
      <w:pPr>
        <w:pStyle w:val="ListParagraph"/>
        <w:spacing w:after="160" w:line="259" w:lineRule="auto"/>
        <w:ind w:left="0"/>
        <w:jc w:val="both"/>
        <w:rPr>
          <w:rFonts w:ascii="Calibri" w:hAnsi="Calibri"/>
          <w:color w:val="auto"/>
          <w:szCs w:val="24"/>
        </w:rPr>
      </w:pPr>
      <w:r>
        <w:rPr>
          <w:rFonts w:ascii="Calibri" w:hAnsi="Calibri"/>
          <w:color w:val="auto"/>
          <w:szCs w:val="24"/>
        </w:rPr>
        <w:t>The taskforce was happy with all of the recommendations being put forward subject to the agreed minor amendments.  All members of the taskforce were happy for all of the recommendations to go forward to the Minister for her consideration.</w:t>
      </w:r>
      <w:r w:rsidR="006341AC">
        <w:rPr>
          <w:rFonts w:ascii="Calibri" w:hAnsi="Calibri"/>
          <w:color w:val="auto"/>
          <w:szCs w:val="24"/>
        </w:rPr>
        <w:t xml:space="preserve">  The Chair thanked the members of the taskforce for their dedication in bringing these recommendations together and the collegiate spirit displayed at all of the meetings held.</w:t>
      </w:r>
    </w:p>
    <w:p w14:paraId="268ADB90" w14:textId="77777777" w:rsidR="00482CB7" w:rsidRDefault="00482CB7" w:rsidP="00125BF2">
      <w:pPr>
        <w:pStyle w:val="ListParagraph"/>
        <w:spacing w:after="160" w:line="259" w:lineRule="auto"/>
        <w:ind w:left="0"/>
        <w:jc w:val="both"/>
        <w:rPr>
          <w:rFonts w:ascii="Calibri" w:hAnsi="Calibri"/>
          <w:color w:val="auto"/>
          <w:szCs w:val="24"/>
        </w:rPr>
      </w:pPr>
    </w:p>
    <w:p w14:paraId="286BAEB5" w14:textId="4020986B" w:rsidR="004224E0" w:rsidRDefault="004103B8" w:rsidP="006F47E4">
      <w:pPr>
        <w:numPr>
          <w:ilvl w:val="0"/>
          <w:numId w:val="5"/>
        </w:numPr>
        <w:autoSpaceDN w:val="0"/>
        <w:ind w:left="0"/>
        <w:rPr>
          <w:rFonts w:ascii="Calibri" w:hAnsi="Calibri"/>
          <w:b/>
          <w:sz w:val="24"/>
          <w:szCs w:val="24"/>
        </w:rPr>
      </w:pPr>
      <w:r>
        <w:rPr>
          <w:rFonts w:ascii="Calibri" w:hAnsi="Calibri"/>
          <w:b/>
          <w:sz w:val="24"/>
          <w:szCs w:val="24"/>
        </w:rPr>
        <w:t>Final Report</w:t>
      </w:r>
    </w:p>
    <w:p w14:paraId="74A3B745" w14:textId="70225FE3" w:rsidR="002577AE" w:rsidRDefault="00435BCC" w:rsidP="00AF1CB8">
      <w:pPr>
        <w:autoSpaceDN w:val="0"/>
        <w:jc w:val="both"/>
        <w:rPr>
          <w:rFonts w:ascii="Calibri" w:hAnsi="Calibri"/>
          <w:sz w:val="24"/>
          <w:szCs w:val="24"/>
        </w:rPr>
      </w:pPr>
      <w:r>
        <w:rPr>
          <w:rFonts w:ascii="Calibri" w:hAnsi="Calibri"/>
          <w:sz w:val="24"/>
          <w:szCs w:val="24"/>
        </w:rPr>
        <w:t>The Chair and the report author</w:t>
      </w:r>
      <w:r w:rsidR="00BD125D">
        <w:rPr>
          <w:rFonts w:ascii="Calibri" w:hAnsi="Calibri"/>
          <w:sz w:val="24"/>
          <w:szCs w:val="24"/>
        </w:rPr>
        <w:t>,</w:t>
      </w:r>
      <w:r>
        <w:rPr>
          <w:rFonts w:ascii="Calibri" w:hAnsi="Calibri"/>
          <w:sz w:val="24"/>
          <w:szCs w:val="24"/>
        </w:rPr>
        <w:t xml:space="preserve"> </w:t>
      </w:r>
      <w:r w:rsidR="006E34F3">
        <w:rPr>
          <w:rFonts w:ascii="Calibri" w:hAnsi="Calibri"/>
          <w:sz w:val="24"/>
          <w:szCs w:val="24"/>
        </w:rPr>
        <w:t xml:space="preserve">along with the secretariat will </w:t>
      </w:r>
      <w:r w:rsidR="001C48AC">
        <w:rPr>
          <w:rFonts w:ascii="Calibri" w:hAnsi="Calibri"/>
          <w:sz w:val="24"/>
          <w:szCs w:val="24"/>
        </w:rPr>
        <w:t>continue the writing of</w:t>
      </w:r>
      <w:r w:rsidR="006E34F3">
        <w:rPr>
          <w:rFonts w:ascii="Calibri" w:hAnsi="Calibri"/>
          <w:sz w:val="24"/>
          <w:szCs w:val="24"/>
        </w:rPr>
        <w:t xml:space="preserve"> a </w:t>
      </w:r>
      <w:r w:rsidR="00AA5D8E">
        <w:rPr>
          <w:rFonts w:ascii="Calibri" w:hAnsi="Calibri"/>
          <w:sz w:val="24"/>
          <w:szCs w:val="24"/>
        </w:rPr>
        <w:t>final</w:t>
      </w:r>
      <w:r w:rsidR="006E34F3">
        <w:rPr>
          <w:rFonts w:ascii="Calibri" w:hAnsi="Calibri"/>
          <w:sz w:val="24"/>
          <w:szCs w:val="24"/>
        </w:rPr>
        <w:t xml:space="preserve"> version of </w:t>
      </w:r>
      <w:r w:rsidR="00AA5D8E">
        <w:rPr>
          <w:rFonts w:ascii="Calibri" w:hAnsi="Calibri"/>
          <w:sz w:val="24"/>
          <w:szCs w:val="24"/>
        </w:rPr>
        <w:t>the report. This will be circulated to the taskforce for final reading before it is officially presented to the Minster.</w:t>
      </w:r>
    </w:p>
    <w:p w14:paraId="6E9B6624" w14:textId="77777777" w:rsidR="00482CB7" w:rsidRPr="00A713F5" w:rsidRDefault="00482CB7" w:rsidP="00A713F5">
      <w:pPr>
        <w:autoSpaceDN w:val="0"/>
        <w:rPr>
          <w:rFonts w:ascii="Calibri" w:hAnsi="Calibri"/>
          <w:sz w:val="24"/>
          <w:szCs w:val="24"/>
        </w:rPr>
      </w:pPr>
    </w:p>
    <w:p w14:paraId="47BABCD7" w14:textId="67D32AE9" w:rsidR="006F47E4" w:rsidRPr="004B31A1" w:rsidRDefault="004103B8" w:rsidP="00125BF2">
      <w:pPr>
        <w:numPr>
          <w:ilvl w:val="0"/>
          <w:numId w:val="5"/>
        </w:numPr>
        <w:autoSpaceDN w:val="0"/>
        <w:ind w:left="0"/>
        <w:rPr>
          <w:rFonts w:ascii="Calibri" w:hAnsi="Calibri"/>
          <w:b/>
          <w:sz w:val="24"/>
          <w:szCs w:val="24"/>
        </w:rPr>
      </w:pPr>
      <w:r>
        <w:rPr>
          <w:rFonts w:ascii="Calibri" w:hAnsi="Calibri"/>
          <w:b/>
          <w:sz w:val="24"/>
          <w:szCs w:val="24"/>
        </w:rPr>
        <w:t>Next Steps</w:t>
      </w:r>
    </w:p>
    <w:p w14:paraId="61EB57CC" w14:textId="41402F39" w:rsidR="006F47E4" w:rsidRPr="00B6553D" w:rsidRDefault="00AA5D8E" w:rsidP="006F47E4">
      <w:pPr>
        <w:autoSpaceDN w:val="0"/>
        <w:rPr>
          <w:rFonts w:ascii="Calibri" w:hAnsi="Calibri"/>
          <w:sz w:val="24"/>
          <w:szCs w:val="24"/>
        </w:rPr>
      </w:pPr>
      <w:r>
        <w:rPr>
          <w:rFonts w:ascii="Calibri" w:hAnsi="Calibri"/>
          <w:sz w:val="24"/>
          <w:szCs w:val="24"/>
        </w:rPr>
        <w:t>Once the Report of the Taskforce is presented to the Minister</w:t>
      </w:r>
      <w:r w:rsidR="006341AC">
        <w:rPr>
          <w:rFonts w:ascii="Calibri" w:hAnsi="Calibri"/>
          <w:sz w:val="24"/>
          <w:szCs w:val="24"/>
        </w:rPr>
        <w:t>, it will subsequently be sent to Government.  Once the Government have noted its contents, the Report will then be published.</w:t>
      </w:r>
      <w:r w:rsidR="00FC7A57">
        <w:rPr>
          <w:rFonts w:ascii="Calibri" w:hAnsi="Calibri"/>
          <w:sz w:val="24"/>
          <w:szCs w:val="24"/>
        </w:rPr>
        <w:t xml:space="preserve">  </w:t>
      </w:r>
    </w:p>
    <w:sectPr w:rsidR="006F47E4" w:rsidRPr="00B655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42C1A" w14:textId="77777777" w:rsidR="00DE18D5" w:rsidRDefault="00DE18D5" w:rsidP="008F1F14">
      <w:pPr>
        <w:spacing w:after="0" w:line="240" w:lineRule="auto"/>
      </w:pPr>
      <w:r>
        <w:separator/>
      </w:r>
    </w:p>
  </w:endnote>
  <w:endnote w:type="continuationSeparator" w:id="0">
    <w:p w14:paraId="794E6DC5" w14:textId="77777777" w:rsidR="00DE18D5" w:rsidRDefault="00DE18D5" w:rsidP="008F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5529" w14:textId="77777777" w:rsidR="00935EA7" w:rsidRDefault="00935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A6DE2" w14:textId="77777777" w:rsidR="00935EA7" w:rsidRDefault="00935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B24D" w14:textId="77777777" w:rsidR="00935EA7" w:rsidRDefault="00935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80DA9" w14:textId="77777777" w:rsidR="00DE18D5" w:rsidRDefault="00DE18D5" w:rsidP="008F1F14">
      <w:pPr>
        <w:spacing w:after="0" w:line="240" w:lineRule="auto"/>
      </w:pPr>
      <w:r>
        <w:separator/>
      </w:r>
    </w:p>
  </w:footnote>
  <w:footnote w:type="continuationSeparator" w:id="0">
    <w:p w14:paraId="77DB50FE" w14:textId="77777777" w:rsidR="00DE18D5" w:rsidRDefault="00DE18D5" w:rsidP="008F1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5490" w14:textId="55F831BF" w:rsidR="008F1F14" w:rsidRDefault="008F1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E288" w14:textId="2D9953B7" w:rsidR="008F1F14" w:rsidRDefault="008F1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1A3D" w14:textId="750B84F2" w:rsidR="008F1F14" w:rsidRDefault="008F1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3FE4"/>
    <w:multiLevelType w:val="hybridMultilevel"/>
    <w:tmpl w:val="8DE63D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C0B0015"/>
    <w:multiLevelType w:val="hybridMultilevel"/>
    <w:tmpl w:val="C6181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5178D7"/>
    <w:multiLevelType w:val="hybridMultilevel"/>
    <w:tmpl w:val="7C0E8308"/>
    <w:lvl w:ilvl="0" w:tplc="514AF08A">
      <w:start w:val="1"/>
      <w:numFmt w:val="decimal"/>
      <w:lvlText w:val="%1."/>
      <w:lvlJc w:val="left"/>
      <w:pPr>
        <w:tabs>
          <w:tab w:val="num" w:pos="360"/>
        </w:tabs>
        <w:ind w:left="360" w:hanging="360"/>
      </w:pPr>
      <w:rPr>
        <w:b/>
        <w:u w:val="single"/>
      </w:rPr>
    </w:lvl>
    <w:lvl w:ilvl="1" w:tplc="04090019">
      <w:start w:val="1"/>
      <w:numFmt w:val="lowerLetter"/>
      <w:lvlText w:val="%2."/>
      <w:lvlJc w:val="left"/>
      <w:pPr>
        <w:tabs>
          <w:tab w:val="num" w:pos="1080"/>
        </w:tabs>
        <w:ind w:left="1080" w:hanging="360"/>
      </w:pPr>
    </w:lvl>
    <w:lvl w:ilvl="2" w:tplc="DAE0472A">
      <w:start w:val="1"/>
      <w:numFmt w:val="lowerRoman"/>
      <w:lvlText w:val="(%3)"/>
      <w:lvlJc w:val="left"/>
      <w:pPr>
        <w:ind w:left="2340" w:hanging="720"/>
      </w:pPr>
      <w:rPr>
        <w:rFonts w:ascii="Arial" w:hAnsi="Arial" w:cs="Arial" w:hint="default"/>
        <w:color w:val="000080"/>
        <w:sz w:val="20"/>
      </w:rPr>
    </w:lvl>
    <w:lvl w:ilvl="3" w:tplc="322E6210">
      <w:numFmt w:val="bullet"/>
      <w:lvlText w:val="–"/>
      <w:lvlJc w:val="left"/>
      <w:pPr>
        <w:ind w:left="2520" w:hanging="360"/>
      </w:pPr>
      <w:rPr>
        <w:rFonts w:ascii="Calibri" w:eastAsia="Times New Roman" w:hAnsi="Calibri" w:cs="Calibri"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31EB455D"/>
    <w:multiLevelType w:val="hybridMultilevel"/>
    <w:tmpl w:val="618E20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E625704"/>
    <w:multiLevelType w:val="hybridMultilevel"/>
    <w:tmpl w:val="03A64DC8"/>
    <w:lvl w:ilvl="0" w:tplc="79EA835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59AB4EB9"/>
    <w:multiLevelType w:val="hybridMultilevel"/>
    <w:tmpl w:val="145C6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CE83C38"/>
    <w:multiLevelType w:val="hybridMultilevel"/>
    <w:tmpl w:val="81BC6F96"/>
    <w:lvl w:ilvl="0" w:tplc="79EA835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7F11DB9"/>
    <w:multiLevelType w:val="hybridMultilevel"/>
    <w:tmpl w:val="CD885F5C"/>
    <w:lvl w:ilvl="0" w:tplc="514AF08A">
      <w:start w:val="1"/>
      <w:numFmt w:val="decimal"/>
      <w:lvlText w:val="%1."/>
      <w:lvlJc w:val="left"/>
      <w:pPr>
        <w:tabs>
          <w:tab w:val="num" w:pos="360"/>
        </w:tabs>
        <w:ind w:left="360" w:hanging="360"/>
      </w:pPr>
      <w:rPr>
        <w:b/>
        <w:u w:val="single"/>
      </w:rPr>
    </w:lvl>
    <w:lvl w:ilvl="1" w:tplc="04090019">
      <w:start w:val="1"/>
      <w:numFmt w:val="lowerLetter"/>
      <w:lvlText w:val="%2."/>
      <w:lvlJc w:val="left"/>
      <w:pPr>
        <w:tabs>
          <w:tab w:val="num" w:pos="1080"/>
        </w:tabs>
        <w:ind w:left="1080" w:hanging="360"/>
      </w:pPr>
    </w:lvl>
    <w:lvl w:ilvl="2" w:tplc="DAE0472A">
      <w:start w:val="1"/>
      <w:numFmt w:val="lowerRoman"/>
      <w:lvlText w:val="(%3)"/>
      <w:lvlJc w:val="left"/>
      <w:pPr>
        <w:ind w:left="2340" w:hanging="720"/>
      </w:pPr>
      <w:rPr>
        <w:rFonts w:ascii="Arial" w:hAnsi="Arial" w:cs="Arial" w:hint="default"/>
        <w:color w:val="000080"/>
        <w:sz w:val="20"/>
      </w:rPr>
    </w:lvl>
    <w:lvl w:ilvl="3" w:tplc="322E6210">
      <w:numFmt w:val="bullet"/>
      <w:lvlText w:val="–"/>
      <w:lvlJc w:val="left"/>
      <w:pPr>
        <w:ind w:left="2520" w:hanging="360"/>
      </w:pPr>
      <w:rPr>
        <w:rFonts w:ascii="Calibri" w:eastAsia="Times New Roman" w:hAnsi="Calibri" w:cs="Calibri"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2"/>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65"/>
    <w:rsid w:val="000C2822"/>
    <w:rsid w:val="000E08B0"/>
    <w:rsid w:val="00122757"/>
    <w:rsid w:val="00125BF2"/>
    <w:rsid w:val="001C48AC"/>
    <w:rsid w:val="001D0647"/>
    <w:rsid w:val="001F6540"/>
    <w:rsid w:val="001F6824"/>
    <w:rsid w:val="00207D8E"/>
    <w:rsid w:val="00245165"/>
    <w:rsid w:val="002577AE"/>
    <w:rsid w:val="002651FF"/>
    <w:rsid w:val="0026715D"/>
    <w:rsid w:val="002F3D6D"/>
    <w:rsid w:val="002F5054"/>
    <w:rsid w:val="003119A0"/>
    <w:rsid w:val="00366536"/>
    <w:rsid w:val="00381C14"/>
    <w:rsid w:val="003B5E40"/>
    <w:rsid w:val="004103B8"/>
    <w:rsid w:val="004224E0"/>
    <w:rsid w:val="00435BCC"/>
    <w:rsid w:val="00454D13"/>
    <w:rsid w:val="00455616"/>
    <w:rsid w:val="004804AD"/>
    <w:rsid w:val="00482CB7"/>
    <w:rsid w:val="004B31A1"/>
    <w:rsid w:val="00502191"/>
    <w:rsid w:val="00532F13"/>
    <w:rsid w:val="00576E4D"/>
    <w:rsid w:val="0059425E"/>
    <w:rsid w:val="005A28FD"/>
    <w:rsid w:val="005B2DA8"/>
    <w:rsid w:val="005C37A1"/>
    <w:rsid w:val="005D427D"/>
    <w:rsid w:val="006341AC"/>
    <w:rsid w:val="00691002"/>
    <w:rsid w:val="0069505A"/>
    <w:rsid w:val="006D0AC4"/>
    <w:rsid w:val="006D0E3B"/>
    <w:rsid w:val="006E2ED9"/>
    <w:rsid w:val="006E34F3"/>
    <w:rsid w:val="006F47E4"/>
    <w:rsid w:val="00716C52"/>
    <w:rsid w:val="00724F8C"/>
    <w:rsid w:val="00740C37"/>
    <w:rsid w:val="007628A9"/>
    <w:rsid w:val="007A33BD"/>
    <w:rsid w:val="007E59DA"/>
    <w:rsid w:val="00826560"/>
    <w:rsid w:val="008D19C2"/>
    <w:rsid w:val="008E5E26"/>
    <w:rsid w:val="008F1F14"/>
    <w:rsid w:val="008F4EE2"/>
    <w:rsid w:val="0090017A"/>
    <w:rsid w:val="00904FD4"/>
    <w:rsid w:val="0091673E"/>
    <w:rsid w:val="009244C9"/>
    <w:rsid w:val="00935EA7"/>
    <w:rsid w:val="00973046"/>
    <w:rsid w:val="009F59B2"/>
    <w:rsid w:val="00A56315"/>
    <w:rsid w:val="00A70BED"/>
    <w:rsid w:val="00A713F5"/>
    <w:rsid w:val="00A821F0"/>
    <w:rsid w:val="00A97C1F"/>
    <w:rsid w:val="00AA5D8E"/>
    <w:rsid w:val="00AF1CB8"/>
    <w:rsid w:val="00B572FD"/>
    <w:rsid w:val="00B6553D"/>
    <w:rsid w:val="00B97D8A"/>
    <w:rsid w:val="00BA670C"/>
    <w:rsid w:val="00BD125D"/>
    <w:rsid w:val="00BD40A4"/>
    <w:rsid w:val="00BE2F1A"/>
    <w:rsid w:val="00C0077A"/>
    <w:rsid w:val="00CA1917"/>
    <w:rsid w:val="00CA761A"/>
    <w:rsid w:val="00D027A8"/>
    <w:rsid w:val="00D327ED"/>
    <w:rsid w:val="00D37F8E"/>
    <w:rsid w:val="00DB102B"/>
    <w:rsid w:val="00DB405E"/>
    <w:rsid w:val="00DC7025"/>
    <w:rsid w:val="00DE18D5"/>
    <w:rsid w:val="00E20DAE"/>
    <w:rsid w:val="00E758DE"/>
    <w:rsid w:val="00EB77C8"/>
    <w:rsid w:val="00ED05B5"/>
    <w:rsid w:val="00ED3CD2"/>
    <w:rsid w:val="00EE2343"/>
    <w:rsid w:val="00F4702E"/>
    <w:rsid w:val="00F66289"/>
    <w:rsid w:val="00FB1CFE"/>
    <w:rsid w:val="00FC7A57"/>
    <w:rsid w:val="00FD6C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7B9D1"/>
  <w15:docId w15:val="{0E4330D9-BDE7-4037-91ED-23F34264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64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D0647"/>
    <w:pPr>
      <w:overflowPunct w:val="0"/>
      <w:autoSpaceDE w:val="0"/>
      <w:autoSpaceDN w:val="0"/>
      <w:adjustRightInd w:val="0"/>
      <w:spacing w:after="0" w:line="240" w:lineRule="auto"/>
      <w:ind w:left="720"/>
      <w:contextualSpacing/>
    </w:pPr>
    <w:rPr>
      <w:rFonts w:ascii="Times New Roman" w:eastAsia="Times New Roman" w:hAnsi="Times New Roman" w:cs="Times New Roman"/>
      <w:color w:val="000000"/>
      <w:sz w:val="24"/>
      <w:szCs w:val="28"/>
      <w:lang w:val="en-GB"/>
    </w:rPr>
  </w:style>
  <w:style w:type="paragraph" w:styleId="Header">
    <w:name w:val="header"/>
    <w:basedOn w:val="Normal"/>
    <w:link w:val="HeaderChar"/>
    <w:uiPriority w:val="99"/>
    <w:unhideWhenUsed/>
    <w:rsid w:val="008F1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14"/>
  </w:style>
  <w:style w:type="paragraph" w:styleId="Footer">
    <w:name w:val="footer"/>
    <w:basedOn w:val="Normal"/>
    <w:link w:val="FooterChar"/>
    <w:uiPriority w:val="99"/>
    <w:unhideWhenUsed/>
    <w:rsid w:val="008F1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14"/>
  </w:style>
  <w:style w:type="paragraph" w:styleId="Revision">
    <w:name w:val="Revision"/>
    <w:hidden/>
    <w:uiPriority w:val="99"/>
    <w:semiHidden/>
    <w:rsid w:val="00B572FD"/>
    <w:pPr>
      <w:spacing w:after="0" w:line="240" w:lineRule="auto"/>
    </w:pPr>
  </w:style>
  <w:style w:type="paragraph" w:styleId="BalloonText">
    <w:name w:val="Balloon Text"/>
    <w:basedOn w:val="Normal"/>
    <w:link w:val="BalloonTextChar"/>
    <w:uiPriority w:val="99"/>
    <w:semiHidden/>
    <w:unhideWhenUsed/>
    <w:rsid w:val="002F3D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3D6D"/>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35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BCC"/>
    <w:rPr>
      <w:sz w:val="20"/>
      <w:szCs w:val="20"/>
    </w:rPr>
  </w:style>
  <w:style w:type="character" w:styleId="FootnoteReference">
    <w:name w:val="footnote reference"/>
    <w:basedOn w:val="DefaultParagraphFont"/>
    <w:uiPriority w:val="99"/>
    <w:semiHidden/>
    <w:unhideWhenUsed/>
    <w:rsid w:val="00435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41331">
      <w:bodyDiv w:val="1"/>
      <w:marLeft w:val="0"/>
      <w:marRight w:val="0"/>
      <w:marTop w:val="0"/>
      <w:marBottom w:val="0"/>
      <w:divBdr>
        <w:top w:val="none" w:sz="0" w:space="0" w:color="auto"/>
        <w:left w:val="none" w:sz="0" w:space="0" w:color="auto"/>
        <w:bottom w:val="none" w:sz="0" w:space="0" w:color="auto"/>
        <w:right w:val="none" w:sz="0" w:space="0" w:color="auto"/>
      </w:divBdr>
    </w:div>
    <w:div w:id="848835706">
      <w:bodyDiv w:val="1"/>
      <w:marLeft w:val="0"/>
      <w:marRight w:val="0"/>
      <w:marTop w:val="0"/>
      <w:marBottom w:val="0"/>
      <w:divBdr>
        <w:top w:val="none" w:sz="0" w:space="0" w:color="auto"/>
        <w:left w:val="none" w:sz="0" w:space="0" w:color="auto"/>
        <w:bottom w:val="none" w:sz="0" w:space="0" w:color="auto"/>
        <w:right w:val="none" w:sz="0" w:space="0" w:color="auto"/>
      </w:divBdr>
    </w:div>
    <w:div w:id="1411999910">
      <w:bodyDiv w:val="1"/>
      <w:marLeft w:val="0"/>
      <w:marRight w:val="0"/>
      <w:marTop w:val="0"/>
      <w:marBottom w:val="0"/>
      <w:divBdr>
        <w:top w:val="none" w:sz="0" w:space="0" w:color="auto"/>
        <w:left w:val="none" w:sz="0" w:space="0" w:color="auto"/>
        <w:bottom w:val="none" w:sz="0" w:space="0" w:color="auto"/>
        <w:right w:val="none" w:sz="0" w:space="0" w:color="auto"/>
      </w:divBdr>
    </w:div>
    <w:div w:id="1463961647">
      <w:bodyDiv w:val="1"/>
      <w:marLeft w:val="0"/>
      <w:marRight w:val="0"/>
      <w:marTop w:val="0"/>
      <w:marBottom w:val="0"/>
      <w:divBdr>
        <w:top w:val="none" w:sz="0" w:space="0" w:color="auto"/>
        <w:left w:val="none" w:sz="0" w:space="0" w:color="auto"/>
        <w:bottom w:val="none" w:sz="0" w:space="0" w:color="auto"/>
        <w:right w:val="none" w:sz="0" w:space="0" w:color="auto"/>
      </w:divBdr>
    </w:div>
    <w:div w:id="1500776624">
      <w:bodyDiv w:val="1"/>
      <w:marLeft w:val="0"/>
      <w:marRight w:val="0"/>
      <w:marTop w:val="0"/>
      <w:marBottom w:val="0"/>
      <w:divBdr>
        <w:top w:val="none" w:sz="0" w:space="0" w:color="auto"/>
        <w:left w:val="none" w:sz="0" w:space="0" w:color="auto"/>
        <w:bottom w:val="none" w:sz="0" w:space="0" w:color="auto"/>
        <w:right w:val="none" w:sz="0" w:space="0" w:color="auto"/>
      </w:divBdr>
    </w:div>
    <w:div w:id="1795057673">
      <w:bodyDiv w:val="1"/>
      <w:marLeft w:val="0"/>
      <w:marRight w:val="0"/>
      <w:marTop w:val="0"/>
      <w:marBottom w:val="0"/>
      <w:divBdr>
        <w:top w:val="none" w:sz="0" w:space="0" w:color="auto"/>
        <w:left w:val="none" w:sz="0" w:space="0" w:color="auto"/>
        <w:bottom w:val="none" w:sz="0" w:space="0" w:color="auto"/>
        <w:right w:val="none" w:sz="0" w:space="0" w:color="auto"/>
      </w:divBdr>
    </w:div>
    <w:div w:id="1843625807">
      <w:bodyDiv w:val="1"/>
      <w:marLeft w:val="0"/>
      <w:marRight w:val="0"/>
      <w:marTop w:val="0"/>
      <w:marBottom w:val="0"/>
      <w:divBdr>
        <w:top w:val="none" w:sz="0" w:space="0" w:color="auto"/>
        <w:left w:val="none" w:sz="0" w:space="0" w:color="auto"/>
        <w:bottom w:val="none" w:sz="0" w:space="0" w:color="auto"/>
        <w:right w:val="none" w:sz="0" w:space="0" w:color="auto"/>
      </w:divBdr>
    </w:div>
    <w:div w:id="1880194118">
      <w:bodyDiv w:val="1"/>
      <w:marLeft w:val="0"/>
      <w:marRight w:val="0"/>
      <w:marTop w:val="0"/>
      <w:marBottom w:val="0"/>
      <w:divBdr>
        <w:top w:val="none" w:sz="0" w:space="0" w:color="auto"/>
        <w:left w:val="none" w:sz="0" w:space="0" w:color="auto"/>
        <w:bottom w:val="none" w:sz="0" w:space="0" w:color="auto"/>
        <w:right w:val="none" w:sz="0" w:space="0" w:color="auto"/>
      </w:divBdr>
    </w:div>
    <w:div w:id="2052532647">
      <w:bodyDiv w:val="1"/>
      <w:marLeft w:val="0"/>
      <w:marRight w:val="0"/>
      <w:marTop w:val="0"/>
      <w:marBottom w:val="0"/>
      <w:divBdr>
        <w:top w:val="none" w:sz="0" w:space="0" w:color="auto"/>
        <w:left w:val="none" w:sz="0" w:space="0" w:color="auto"/>
        <w:bottom w:val="none" w:sz="0" w:space="0" w:color="auto"/>
        <w:right w:val="none" w:sz="0" w:space="0" w:color="auto"/>
      </w:divBdr>
    </w:div>
    <w:div w:id="2069061979">
      <w:bodyDiv w:val="1"/>
      <w:marLeft w:val="0"/>
      <w:marRight w:val="0"/>
      <w:marTop w:val="0"/>
      <w:marBottom w:val="0"/>
      <w:divBdr>
        <w:top w:val="none" w:sz="0" w:space="0" w:color="auto"/>
        <w:left w:val="none" w:sz="0" w:space="0" w:color="auto"/>
        <w:bottom w:val="none" w:sz="0" w:space="0" w:color="auto"/>
        <w:right w:val="none" w:sz="0" w:space="0" w:color="auto"/>
      </w:divBdr>
    </w:div>
    <w:div w:id="21397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EEDA-AFCD-4165-B98E-86BBC1D8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Tadhg O'Shea</dc:creator>
  <cp:lastModifiedBy>Máire T. Ní Chonghaile</cp:lastModifiedBy>
  <cp:revision>2</cp:revision>
  <dcterms:created xsi:type="dcterms:W3CDTF">2020-11-17T14:02:00Z</dcterms:created>
  <dcterms:modified xsi:type="dcterms:W3CDTF">2020-11-17T14:02:00Z</dcterms:modified>
</cp:coreProperties>
</file>