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1940A" w14:textId="77777777" w:rsidR="00A22A30" w:rsidRDefault="00A22A30" w:rsidP="00700BD1">
      <w:pPr>
        <w:spacing w:after="240" w:line="360" w:lineRule="auto"/>
        <w:contextualSpacing/>
        <w:rPr>
          <w:b/>
          <w:bCs/>
          <w:u w:val="single"/>
        </w:rPr>
      </w:pPr>
      <w:bookmarkStart w:id="0" w:name="_GoBack"/>
      <w:bookmarkEnd w:id="0"/>
    </w:p>
    <w:p w14:paraId="3AFA49BF" w14:textId="77777777" w:rsidR="00940D79" w:rsidRDefault="00940D79" w:rsidP="00700BD1">
      <w:pPr>
        <w:spacing w:after="240" w:line="360" w:lineRule="auto"/>
        <w:contextualSpacing/>
        <w:jc w:val="center"/>
        <w:rPr>
          <w:rFonts w:asciiTheme="minorHAnsi" w:hAnsiTheme="minorHAnsi" w:cstheme="minorHAnsi"/>
          <w:sz w:val="36"/>
          <w:szCs w:val="36"/>
        </w:rPr>
      </w:pPr>
    </w:p>
    <w:p w14:paraId="577ACAC9" w14:textId="77777777" w:rsidR="00940D79" w:rsidRDefault="00940D79" w:rsidP="00700BD1">
      <w:pPr>
        <w:spacing w:after="240" w:line="360" w:lineRule="auto"/>
        <w:contextualSpacing/>
        <w:jc w:val="center"/>
        <w:rPr>
          <w:rFonts w:asciiTheme="minorHAnsi" w:hAnsiTheme="minorHAnsi" w:cstheme="minorHAnsi"/>
          <w:sz w:val="36"/>
          <w:szCs w:val="36"/>
        </w:rPr>
      </w:pPr>
    </w:p>
    <w:p w14:paraId="2AAFDC50" w14:textId="77777777" w:rsidR="00940D79" w:rsidRDefault="00940D79" w:rsidP="00700BD1">
      <w:pPr>
        <w:spacing w:after="240" w:line="360" w:lineRule="auto"/>
        <w:contextualSpacing/>
        <w:jc w:val="center"/>
        <w:rPr>
          <w:rFonts w:asciiTheme="minorHAnsi" w:hAnsiTheme="minorHAnsi" w:cstheme="minorHAnsi"/>
          <w:sz w:val="36"/>
          <w:szCs w:val="36"/>
        </w:rPr>
      </w:pPr>
    </w:p>
    <w:p w14:paraId="75646C3B" w14:textId="77777777" w:rsidR="00940D79" w:rsidRDefault="00940D79" w:rsidP="00700BD1">
      <w:pPr>
        <w:spacing w:after="240" w:line="360" w:lineRule="auto"/>
        <w:contextualSpacing/>
        <w:jc w:val="center"/>
        <w:rPr>
          <w:rFonts w:asciiTheme="minorHAnsi" w:hAnsiTheme="minorHAnsi" w:cstheme="minorHAnsi"/>
          <w:sz w:val="36"/>
          <w:szCs w:val="36"/>
        </w:rPr>
      </w:pPr>
    </w:p>
    <w:p w14:paraId="2DF954DF" w14:textId="5BAC206A" w:rsidR="00A22A30" w:rsidRPr="00D46D4C" w:rsidRDefault="00A22A30" w:rsidP="00700BD1">
      <w:pPr>
        <w:spacing w:after="240" w:line="360" w:lineRule="auto"/>
        <w:contextualSpacing/>
        <w:jc w:val="center"/>
        <w:rPr>
          <w:rFonts w:asciiTheme="minorHAnsi" w:hAnsiTheme="minorHAnsi" w:cstheme="minorHAnsi"/>
          <w:sz w:val="36"/>
          <w:szCs w:val="36"/>
        </w:rPr>
      </w:pPr>
      <w:r w:rsidRPr="00D46D4C">
        <w:rPr>
          <w:rFonts w:asciiTheme="minorHAnsi" w:hAnsiTheme="minorHAnsi" w:cstheme="minorHAnsi"/>
          <w:sz w:val="36"/>
          <w:szCs w:val="36"/>
        </w:rPr>
        <w:t>General Scheme</w:t>
      </w:r>
      <w:r w:rsidR="00537C2F" w:rsidRPr="00D46D4C">
        <w:rPr>
          <w:rFonts w:asciiTheme="minorHAnsi" w:hAnsiTheme="minorHAnsi" w:cstheme="minorHAnsi"/>
          <w:sz w:val="36"/>
          <w:szCs w:val="36"/>
        </w:rPr>
        <w:t xml:space="preserve"> </w:t>
      </w:r>
      <w:r w:rsidRPr="00D46D4C">
        <w:rPr>
          <w:rFonts w:asciiTheme="minorHAnsi" w:hAnsiTheme="minorHAnsi" w:cstheme="minorHAnsi"/>
          <w:sz w:val="36"/>
          <w:szCs w:val="36"/>
        </w:rPr>
        <w:t>of a</w:t>
      </w:r>
    </w:p>
    <w:p w14:paraId="31178227" w14:textId="2B5E55D7" w:rsidR="00A22A30" w:rsidRPr="00C059C3" w:rsidRDefault="004C0ACE" w:rsidP="00700BD1">
      <w:pPr>
        <w:spacing w:after="240" w:line="360" w:lineRule="auto"/>
        <w:contextualSpacing/>
        <w:jc w:val="center"/>
        <w:rPr>
          <w:rFonts w:ascii="Arial" w:hAnsi="Arial" w:cs="Arial"/>
          <w:sz w:val="32"/>
          <w:szCs w:val="32"/>
        </w:rPr>
      </w:pPr>
      <w:r>
        <w:rPr>
          <w:rFonts w:asciiTheme="minorHAnsi" w:hAnsiTheme="minorHAnsi" w:cstheme="minorHAnsi"/>
          <w:sz w:val="36"/>
          <w:szCs w:val="36"/>
        </w:rPr>
        <w:t>Preservation and Transfer</w:t>
      </w:r>
      <w:r w:rsidR="00A22A30" w:rsidRPr="00D46D4C">
        <w:rPr>
          <w:rFonts w:asciiTheme="minorHAnsi" w:hAnsiTheme="minorHAnsi" w:cstheme="minorHAnsi"/>
          <w:sz w:val="36"/>
          <w:szCs w:val="36"/>
        </w:rPr>
        <w:t xml:space="preserve"> of Specified Records of the Commission of Investigat</w:t>
      </w:r>
      <w:r w:rsidR="00D46D4C" w:rsidRPr="00D46D4C">
        <w:rPr>
          <w:rFonts w:asciiTheme="minorHAnsi" w:hAnsiTheme="minorHAnsi" w:cstheme="minorHAnsi"/>
          <w:sz w:val="36"/>
          <w:szCs w:val="36"/>
        </w:rPr>
        <w:t>ion (Mother and Baby Homes and certain r</w:t>
      </w:r>
      <w:r w:rsidR="00A22A30" w:rsidRPr="00D46D4C">
        <w:rPr>
          <w:rFonts w:asciiTheme="minorHAnsi" w:hAnsiTheme="minorHAnsi" w:cstheme="minorHAnsi"/>
          <w:sz w:val="36"/>
          <w:szCs w:val="36"/>
        </w:rPr>
        <w:t>elated Matters) Bill</w:t>
      </w:r>
      <w:r w:rsidR="00A22A30" w:rsidRPr="00A22A30">
        <w:rPr>
          <w:rFonts w:ascii="Arial" w:hAnsi="Arial" w:cs="Arial"/>
          <w:sz w:val="32"/>
          <w:szCs w:val="32"/>
        </w:rPr>
        <w:t xml:space="preserve"> </w:t>
      </w:r>
      <w:r w:rsidR="00A22A30" w:rsidRPr="00C059C3">
        <w:rPr>
          <w:rFonts w:ascii="Arial" w:hAnsi="Arial" w:cs="Arial"/>
          <w:sz w:val="32"/>
          <w:szCs w:val="32"/>
        </w:rPr>
        <w:br w:type="page"/>
      </w:r>
    </w:p>
    <w:p w14:paraId="653D5118" w14:textId="439830D3" w:rsidR="00012EC3" w:rsidRDefault="00D46D4C" w:rsidP="00771279">
      <w:pPr>
        <w:spacing w:after="240" w:line="360" w:lineRule="auto"/>
        <w:contextualSpacing/>
        <w:jc w:val="both"/>
        <w:rPr>
          <w:rFonts w:asciiTheme="minorHAnsi" w:hAnsiTheme="minorHAnsi" w:cstheme="minorHAnsi"/>
        </w:rPr>
      </w:pPr>
      <w:r w:rsidRPr="00D46D4C">
        <w:rPr>
          <w:rFonts w:asciiTheme="minorHAnsi" w:hAnsiTheme="minorHAnsi" w:cstheme="minorHAnsi"/>
        </w:rPr>
        <w:lastRenderedPageBreak/>
        <w:t>The purpose of this General Scheme is to provide the statutory basis</w:t>
      </w:r>
      <w:r>
        <w:rPr>
          <w:rFonts w:asciiTheme="minorHAnsi" w:hAnsiTheme="minorHAnsi" w:cstheme="minorHAnsi"/>
        </w:rPr>
        <w:t xml:space="preserve"> for the </w:t>
      </w:r>
      <w:r w:rsidRPr="00D46D4C">
        <w:rPr>
          <w:rFonts w:asciiTheme="minorHAnsi" w:hAnsiTheme="minorHAnsi" w:cstheme="minorHAnsi"/>
          <w:bCs/>
        </w:rPr>
        <w:t>preservation of records of the Commission of Investigat</w:t>
      </w:r>
      <w:r>
        <w:rPr>
          <w:rFonts w:asciiTheme="minorHAnsi" w:hAnsiTheme="minorHAnsi" w:cstheme="minorHAnsi"/>
          <w:bCs/>
        </w:rPr>
        <w:t>ion (Mother and Baby Homes and certain r</w:t>
      </w:r>
      <w:r w:rsidRPr="00D46D4C">
        <w:rPr>
          <w:rFonts w:asciiTheme="minorHAnsi" w:hAnsiTheme="minorHAnsi" w:cstheme="minorHAnsi"/>
          <w:bCs/>
        </w:rPr>
        <w:t>elated Matters);</w:t>
      </w:r>
      <w:r w:rsidR="00181743" w:rsidRPr="00D46D4C">
        <w:rPr>
          <w:rFonts w:asciiTheme="minorHAnsi" w:hAnsiTheme="minorHAnsi" w:cstheme="minorHAnsi"/>
          <w:bCs/>
        </w:rPr>
        <w:t xml:space="preserve"> to further provide for</w:t>
      </w:r>
      <w:r w:rsidR="00181743">
        <w:rPr>
          <w:rFonts w:asciiTheme="minorHAnsi" w:hAnsiTheme="minorHAnsi" w:cstheme="minorHAnsi"/>
          <w:bCs/>
        </w:rPr>
        <w:t xml:space="preserve"> the transfer </w:t>
      </w:r>
      <w:r w:rsidR="00181743" w:rsidRPr="00D46D4C">
        <w:rPr>
          <w:rFonts w:asciiTheme="minorHAnsi" w:hAnsiTheme="minorHAnsi" w:cstheme="minorHAnsi"/>
          <w:bCs/>
        </w:rPr>
        <w:t>of [and access to] specified records, including a specified database, of the Commission of Investigation (Mot</w:t>
      </w:r>
      <w:r w:rsidR="00181743">
        <w:rPr>
          <w:rFonts w:asciiTheme="minorHAnsi" w:hAnsiTheme="minorHAnsi" w:cstheme="minorHAnsi"/>
          <w:bCs/>
        </w:rPr>
        <w:t>her and Baby Homes and certain r</w:t>
      </w:r>
      <w:r w:rsidR="00181743" w:rsidRPr="00D46D4C">
        <w:rPr>
          <w:rFonts w:asciiTheme="minorHAnsi" w:hAnsiTheme="minorHAnsi" w:cstheme="minorHAnsi"/>
          <w:bCs/>
        </w:rPr>
        <w:t>elated Matters)</w:t>
      </w:r>
      <w:r w:rsidR="00181743">
        <w:rPr>
          <w:rFonts w:asciiTheme="minorHAnsi" w:hAnsiTheme="minorHAnsi" w:cstheme="minorHAnsi"/>
          <w:bCs/>
        </w:rPr>
        <w:t>; and to deem those specified records to be records of</w:t>
      </w:r>
      <w:r w:rsidR="00181743" w:rsidRPr="00D46D4C">
        <w:rPr>
          <w:rFonts w:asciiTheme="minorHAnsi" w:hAnsiTheme="minorHAnsi" w:cstheme="minorHAnsi"/>
          <w:bCs/>
        </w:rPr>
        <w:t xml:space="preserve"> the Child and Family </w:t>
      </w:r>
      <w:r w:rsidR="00181743" w:rsidRPr="00181743">
        <w:rPr>
          <w:rFonts w:asciiTheme="minorHAnsi" w:hAnsiTheme="minorHAnsi" w:cstheme="minorHAnsi"/>
          <w:bCs/>
        </w:rPr>
        <w:t>Agency for the purpose of its statutory functions in relation to adoption activities</w:t>
      </w:r>
      <w:r w:rsidR="00012EC3">
        <w:rPr>
          <w:rFonts w:asciiTheme="minorHAnsi" w:hAnsiTheme="minorHAnsi" w:cstheme="minorHAnsi"/>
          <w:bCs/>
        </w:rPr>
        <w:t xml:space="preserve"> and to enable </w:t>
      </w:r>
      <w:r w:rsidR="00700BD1">
        <w:rPr>
          <w:rFonts w:asciiTheme="minorHAnsi" w:hAnsiTheme="minorHAnsi" w:cstheme="minorHAnsi"/>
          <w:bCs/>
        </w:rPr>
        <w:t>the</w:t>
      </w:r>
      <w:r w:rsidR="00012EC3" w:rsidRPr="00D46D4C">
        <w:rPr>
          <w:rFonts w:asciiTheme="minorHAnsi" w:hAnsiTheme="minorHAnsi" w:cstheme="minorHAnsi"/>
          <w:bCs/>
        </w:rPr>
        <w:t xml:space="preserve"> </w:t>
      </w:r>
      <w:r w:rsidR="00012EC3" w:rsidRPr="00181743">
        <w:rPr>
          <w:rFonts w:asciiTheme="minorHAnsi" w:hAnsiTheme="minorHAnsi" w:cstheme="minorHAnsi"/>
          <w:bCs/>
        </w:rPr>
        <w:t>Agency</w:t>
      </w:r>
      <w:r w:rsidR="00012EC3">
        <w:rPr>
          <w:rFonts w:asciiTheme="minorHAnsi" w:hAnsiTheme="minorHAnsi" w:cstheme="minorHAnsi"/>
          <w:bCs/>
        </w:rPr>
        <w:t xml:space="preserve"> to discharge its</w:t>
      </w:r>
      <w:r w:rsidR="00012EC3" w:rsidRPr="00012EC3">
        <w:rPr>
          <w:rFonts w:asciiTheme="minorHAnsi" w:hAnsiTheme="minorHAnsi" w:cstheme="minorHAnsi"/>
        </w:rPr>
        <w:t xml:space="preserve"> obligations under GDPR and the Data Protection Acts</w:t>
      </w:r>
      <w:r w:rsidR="00012EC3">
        <w:rPr>
          <w:rFonts w:asciiTheme="minorHAnsi" w:hAnsiTheme="minorHAnsi" w:cstheme="minorHAnsi"/>
          <w:bCs/>
        </w:rPr>
        <w:t xml:space="preserve"> </w:t>
      </w:r>
      <w:r w:rsidR="00181743" w:rsidRPr="00181743">
        <w:rPr>
          <w:rFonts w:asciiTheme="minorHAnsi" w:hAnsiTheme="minorHAnsi" w:cstheme="minorHAnsi"/>
          <w:bCs/>
        </w:rPr>
        <w:t xml:space="preserve"> </w:t>
      </w:r>
      <w:r w:rsidRPr="00181743">
        <w:rPr>
          <w:rFonts w:asciiTheme="minorHAnsi" w:hAnsiTheme="minorHAnsi" w:cstheme="minorHAnsi"/>
        </w:rPr>
        <w:t xml:space="preserve">[and for the purposes of </w:t>
      </w:r>
      <w:r w:rsidR="00181743">
        <w:rPr>
          <w:rFonts w:asciiTheme="minorHAnsi" w:hAnsiTheme="minorHAnsi" w:cstheme="minorHAnsi"/>
        </w:rPr>
        <w:t xml:space="preserve">supporting </w:t>
      </w:r>
      <w:r w:rsidRPr="00181743">
        <w:rPr>
          <w:rFonts w:asciiTheme="minorHAnsi" w:hAnsiTheme="minorHAnsi" w:cstheme="minorHAnsi"/>
        </w:rPr>
        <w:t>the creation of an adoption tracing service to be established</w:t>
      </w:r>
      <w:r w:rsidR="006011D1">
        <w:rPr>
          <w:rFonts w:asciiTheme="minorHAnsi" w:hAnsiTheme="minorHAnsi" w:cstheme="minorHAnsi"/>
        </w:rPr>
        <w:t>]</w:t>
      </w:r>
      <w:r w:rsidR="00012EC3" w:rsidRPr="00012EC3">
        <w:rPr>
          <w:rFonts w:asciiTheme="minorHAnsi" w:hAnsiTheme="minorHAnsi" w:cstheme="minorHAnsi"/>
        </w:rPr>
        <w:t>;</w:t>
      </w:r>
    </w:p>
    <w:p w14:paraId="7F219152" w14:textId="12F9468E" w:rsidR="00EB656D" w:rsidRDefault="00EB656D" w:rsidP="00771279">
      <w:pPr>
        <w:spacing w:after="240" w:line="360" w:lineRule="auto"/>
        <w:contextualSpacing/>
        <w:jc w:val="both"/>
        <w:rPr>
          <w:rFonts w:asciiTheme="minorHAnsi" w:hAnsiTheme="minorHAnsi" w:cstheme="minorHAnsi"/>
        </w:rPr>
      </w:pPr>
    </w:p>
    <w:p w14:paraId="322DBD2B" w14:textId="2AD02285" w:rsidR="00012EC3" w:rsidRDefault="00EB656D" w:rsidP="00771279">
      <w:pPr>
        <w:spacing w:after="240" w:line="360" w:lineRule="auto"/>
        <w:contextualSpacing/>
        <w:jc w:val="both"/>
        <w:rPr>
          <w:rFonts w:asciiTheme="minorHAnsi" w:hAnsiTheme="minorHAnsi" w:cstheme="minorHAnsi"/>
        </w:rPr>
      </w:pPr>
      <w:r>
        <w:rPr>
          <w:rFonts w:asciiTheme="minorHAnsi" w:hAnsiTheme="minorHAnsi" w:cstheme="minorHAnsi"/>
        </w:rPr>
        <w:t>And to provide for related matters.</w:t>
      </w:r>
    </w:p>
    <w:p w14:paraId="0DC9235C" w14:textId="77777777" w:rsidR="006011D1" w:rsidRDefault="006011D1" w:rsidP="00700BD1">
      <w:pPr>
        <w:spacing w:after="240" w:line="360" w:lineRule="auto"/>
        <w:contextualSpacing/>
        <w:rPr>
          <w:rFonts w:asciiTheme="minorHAnsi" w:hAnsiTheme="minorHAnsi" w:cstheme="minorHAnsi"/>
        </w:rPr>
      </w:pPr>
    </w:p>
    <w:p w14:paraId="32F62D1F" w14:textId="77777777" w:rsidR="005E2072" w:rsidRDefault="005E2072" w:rsidP="00700BD1">
      <w:pPr>
        <w:spacing w:after="240" w:line="360" w:lineRule="auto"/>
        <w:contextualSpacing/>
        <w:rPr>
          <w:rFonts w:asciiTheme="minorHAnsi" w:hAnsiTheme="minorHAnsi" w:cstheme="minorHAnsi"/>
          <w:b/>
        </w:rPr>
      </w:pPr>
    </w:p>
    <w:p w14:paraId="112E3983" w14:textId="77777777" w:rsidR="005E2072" w:rsidRDefault="005E2072" w:rsidP="00700BD1">
      <w:pPr>
        <w:spacing w:after="240" w:line="360" w:lineRule="auto"/>
        <w:contextualSpacing/>
        <w:rPr>
          <w:rFonts w:asciiTheme="minorHAnsi" w:hAnsiTheme="minorHAnsi" w:cstheme="minorHAnsi"/>
          <w:b/>
        </w:rPr>
      </w:pPr>
    </w:p>
    <w:p w14:paraId="5AB0B6C3" w14:textId="77777777" w:rsidR="005E2072" w:rsidRDefault="005E2072" w:rsidP="00700BD1">
      <w:pPr>
        <w:spacing w:after="240" w:line="360" w:lineRule="auto"/>
        <w:contextualSpacing/>
        <w:rPr>
          <w:rFonts w:asciiTheme="minorHAnsi" w:hAnsiTheme="minorHAnsi" w:cstheme="minorHAnsi"/>
          <w:b/>
        </w:rPr>
      </w:pPr>
    </w:p>
    <w:p w14:paraId="47E2A09F" w14:textId="77777777" w:rsidR="005E2072" w:rsidRDefault="005E2072" w:rsidP="00700BD1">
      <w:pPr>
        <w:spacing w:after="240" w:line="360" w:lineRule="auto"/>
        <w:contextualSpacing/>
        <w:rPr>
          <w:rFonts w:asciiTheme="minorHAnsi" w:hAnsiTheme="minorHAnsi" w:cstheme="minorHAnsi"/>
          <w:b/>
        </w:rPr>
      </w:pPr>
    </w:p>
    <w:p w14:paraId="06574511" w14:textId="77777777" w:rsidR="005E2072" w:rsidRDefault="005E2072" w:rsidP="00700BD1">
      <w:pPr>
        <w:spacing w:after="240" w:line="360" w:lineRule="auto"/>
        <w:contextualSpacing/>
        <w:rPr>
          <w:rFonts w:asciiTheme="minorHAnsi" w:hAnsiTheme="minorHAnsi" w:cstheme="minorHAnsi"/>
          <w:b/>
        </w:rPr>
      </w:pPr>
    </w:p>
    <w:p w14:paraId="29DC710A" w14:textId="77777777" w:rsidR="005E2072" w:rsidRDefault="005E2072" w:rsidP="00700BD1">
      <w:pPr>
        <w:spacing w:after="240" w:line="360" w:lineRule="auto"/>
        <w:contextualSpacing/>
        <w:rPr>
          <w:rFonts w:asciiTheme="minorHAnsi" w:hAnsiTheme="minorHAnsi" w:cstheme="minorHAnsi"/>
          <w:b/>
        </w:rPr>
      </w:pPr>
    </w:p>
    <w:p w14:paraId="722BD42F" w14:textId="77777777" w:rsidR="005E2072" w:rsidRDefault="005E2072" w:rsidP="00700BD1">
      <w:pPr>
        <w:spacing w:after="240" w:line="360" w:lineRule="auto"/>
        <w:contextualSpacing/>
        <w:rPr>
          <w:rFonts w:asciiTheme="minorHAnsi" w:hAnsiTheme="minorHAnsi" w:cstheme="minorHAnsi"/>
          <w:b/>
        </w:rPr>
      </w:pPr>
    </w:p>
    <w:p w14:paraId="0D6259DA" w14:textId="77777777" w:rsidR="005E2072" w:rsidRDefault="005E2072" w:rsidP="00700BD1">
      <w:pPr>
        <w:spacing w:after="240" w:line="360" w:lineRule="auto"/>
        <w:contextualSpacing/>
        <w:rPr>
          <w:rFonts w:asciiTheme="minorHAnsi" w:hAnsiTheme="minorHAnsi" w:cstheme="minorHAnsi"/>
          <w:b/>
        </w:rPr>
      </w:pPr>
    </w:p>
    <w:p w14:paraId="77A6FCC2" w14:textId="77777777" w:rsidR="005E2072" w:rsidRDefault="005E2072" w:rsidP="00700BD1">
      <w:pPr>
        <w:spacing w:after="240" w:line="360" w:lineRule="auto"/>
        <w:contextualSpacing/>
        <w:rPr>
          <w:rFonts w:asciiTheme="minorHAnsi" w:hAnsiTheme="minorHAnsi" w:cstheme="minorHAnsi"/>
          <w:b/>
        </w:rPr>
      </w:pPr>
    </w:p>
    <w:p w14:paraId="354A4E0D" w14:textId="77777777" w:rsidR="005E2072" w:rsidRDefault="005E2072" w:rsidP="00700BD1">
      <w:pPr>
        <w:spacing w:after="240" w:line="360" w:lineRule="auto"/>
        <w:contextualSpacing/>
        <w:rPr>
          <w:rFonts w:asciiTheme="minorHAnsi" w:hAnsiTheme="minorHAnsi" w:cstheme="minorHAnsi"/>
          <w:b/>
        </w:rPr>
      </w:pPr>
    </w:p>
    <w:p w14:paraId="447ECE1A" w14:textId="77777777" w:rsidR="005E2072" w:rsidRDefault="005E2072" w:rsidP="00700BD1">
      <w:pPr>
        <w:spacing w:after="240" w:line="360" w:lineRule="auto"/>
        <w:contextualSpacing/>
        <w:rPr>
          <w:rFonts w:asciiTheme="minorHAnsi" w:hAnsiTheme="minorHAnsi" w:cstheme="minorHAnsi"/>
          <w:b/>
        </w:rPr>
      </w:pPr>
    </w:p>
    <w:p w14:paraId="1EEE1CFB" w14:textId="77777777" w:rsidR="005E2072" w:rsidRDefault="005E2072" w:rsidP="00700BD1">
      <w:pPr>
        <w:spacing w:after="240" w:line="360" w:lineRule="auto"/>
        <w:contextualSpacing/>
        <w:rPr>
          <w:rFonts w:asciiTheme="minorHAnsi" w:hAnsiTheme="minorHAnsi" w:cstheme="minorHAnsi"/>
          <w:b/>
        </w:rPr>
      </w:pPr>
    </w:p>
    <w:p w14:paraId="6BF00740" w14:textId="77777777" w:rsidR="005E2072" w:rsidRDefault="005E2072" w:rsidP="00700BD1">
      <w:pPr>
        <w:spacing w:after="240" w:line="360" w:lineRule="auto"/>
        <w:contextualSpacing/>
        <w:rPr>
          <w:rFonts w:asciiTheme="minorHAnsi" w:hAnsiTheme="minorHAnsi" w:cstheme="minorHAnsi"/>
          <w:b/>
        </w:rPr>
      </w:pPr>
    </w:p>
    <w:p w14:paraId="7197D1E4" w14:textId="77777777" w:rsidR="005E2072" w:rsidRDefault="005E2072" w:rsidP="00700BD1">
      <w:pPr>
        <w:spacing w:after="240" w:line="360" w:lineRule="auto"/>
        <w:contextualSpacing/>
        <w:rPr>
          <w:rFonts w:asciiTheme="minorHAnsi" w:hAnsiTheme="minorHAnsi" w:cstheme="minorHAnsi"/>
          <w:b/>
        </w:rPr>
      </w:pPr>
    </w:p>
    <w:p w14:paraId="07846A5D" w14:textId="77777777" w:rsidR="005E2072" w:rsidRDefault="005E2072" w:rsidP="00700BD1">
      <w:pPr>
        <w:spacing w:after="240" w:line="360" w:lineRule="auto"/>
        <w:contextualSpacing/>
        <w:rPr>
          <w:rFonts w:asciiTheme="minorHAnsi" w:hAnsiTheme="minorHAnsi" w:cstheme="minorHAnsi"/>
          <w:b/>
        </w:rPr>
      </w:pPr>
    </w:p>
    <w:p w14:paraId="081A163E" w14:textId="77777777" w:rsidR="005E2072" w:rsidRDefault="005E2072" w:rsidP="00700BD1">
      <w:pPr>
        <w:spacing w:after="240" w:line="360" w:lineRule="auto"/>
        <w:contextualSpacing/>
        <w:rPr>
          <w:rFonts w:asciiTheme="minorHAnsi" w:hAnsiTheme="minorHAnsi" w:cstheme="minorHAnsi"/>
          <w:b/>
        </w:rPr>
      </w:pPr>
    </w:p>
    <w:p w14:paraId="6BB59AA4" w14:textId="493915D3" w:rsidR="0075199D" w:rsidRDefault="0075199D" w:rsidP="005E2072">
      <w:pPr>
        <w:spacing w:after="240" w:line="360" w:lineRule="auto"/>
        <w:contextualSpacing/>
        <w:rPr>
          <w:rFonts w:asciiTheme="minorHAnsi" w:hAnsiTheme="minorHAnsi" w:cstheme="minorHAnsi"/>
        </w:rPr>
      </w:pPr>
    </w:p>
    <w:p w14:paraId="366223A7" w14:textId="0F6D509B" w:rsidR="0075199D" w:rsidRDefault="0075199D" w:rsidP="005E2072">
      <w:pPr>
        <w:spacing w:after="240" w:line="360" w:lineRule="auto"/>
        <w:contextualSpacing/>
        <w:rPr>
          <w:rFonts w:asciiTheme="minorHAnsi" w:hAnsiTheme="minorHAnsi" w:cstheme="minorHAnsi"/>
        </w:rPr>
      </w:pPr>
    </w:p>
    <w:p w14:paraId="35C45732" w14:textId="77777777" w:rsidR="0075199D" w:rsidRPr="005E2072" w:rsidRDefault="0075199D" w:rsidP="005E2072">
      <w:pPr>
        <w:spacing w:after="240" w:line="360" w:lineRule="auto"/>
        <w:contextualSpacing/>
        <w:rPr>
          <w:rFonts w:asciiTheme="minorHAnsi" w:hAnsiTheme="minorHAnsi" w:cstheme="minorHAnsi"/>
        </w:rPr>
      </w:pPr>
    </w:p>
    <w:p w14:paraId="71C69ACB" w14:textId="77777777" w:rsidR="00934218" w:rsidRPr="00934218" w:rsidRDefault="00934218" w:rsidP="00934218">
      <w:pPr>
        <w:spacing w:after="240" w:line="360" w:lineRule="auto"/>
        <w:contextualSpacing/>
        <w:jc w:val="both"/>
        <w:rPr>
          <w:rFonts w:ascii="Calibri" w:hAnsi="Calibri" w:cstheme="majorHAnsi"/>
          <w:color w:val="70AD47" w:themeColor="accent6"/>
        </w:rPr>
      </w:pPr>
    </w:p>
    <w:p w14:paraId="1B29AB66" w14:textId="1ECEF927" w:rsidR="0018449B" w:rsidRDefault="0018449B">
      <w:pPr>
        <w:spacing w:after="160" w:line="259" w:lineRule="auto"/>
        <w:rPr>
          <w:rFonts w:asciiTheme="minorHAnsi" w:hAnsiTheme="minorHAnsi" w:cstheme="minorHAnsi"/>
          <w:color w:val="70AD47" w:themeColor="accent6"/>
        </w:rPr>
      </w:pPr>
      <w:r>
        <w:rPr>
          <w:rFonts w:asciiTheme="minorHAnsi" w:hAnsiTheme="minorHAnsi" w:cstheme="minorHAnsi"/>
          <w:color w:val="70AD47" w:themeColor="accent6"/>
        </w:rPr>
        <w:br w:type="page"/>
      </w:r>
    </w:p>
    <w:p w14:paraId="5CCD8110" w14:textId="4544B9AA" w:rsidR="004C0ACE" w:rsidRPr="004C0ACE" w:rsidRDefault="001922C1" w:rsidP="00700BD1">
      <w:pPr>
        <w:spacing w:after="240" w:line="360" w:lineRule="auto"/>
        <w:contextualSpacing/>
        <w:rPr>
          <w:rFonts w:asciiTheme="minorHAnsi" w:hAnsiTheme="minorHAnsi" w:cstheme="minorHAnsi"/>
          <w:b/>
        </w:rPr>
      </w:pPr>
      <w:r>
        <w:rPr>
          <w:rFonts w:asciiTheme="minorHAnsi" w:hAnsiTheme="minorHAnsi" w:cstheme="minorHAnsi"/>
          <w:b/>
        </w:rPr>
        <w:lastRenderedPageBreak/>
        <w:t>H</w:t>
      </w:r>
      <w:r w:rsidR="009D706C">
        <w:rPr>
          <w:rFonts w:asciiTheme="minorHAnsi" w:hAnsiTheme="minorHAnsi" w:cstheme="minorHAnsi"/>
          <w:b/>
        </w:rPr>
        <w:t>EAD</w:t>
      </w:r>
      <w:r>
        <w:rPr>
          <w:rFonts w:asciiTheme="minorHAnsi" w:hAnsiTheme="minorHAnsi" w:cstheme="minorHAnsi"/>
          <w:b/>
        </w:rPr>
        <w:t xml:space="preserve"> 1-</w:t>
      </w:r>
      <w:r>
        <w:rPr>
          <w:rFonts w:asciiTheme="minorHAnsi" w:hAnsiTheme="minorHAnsi" w:cstheme="minorHAnsi"/>
          <w:b/>
        </w:rPr>
        <w:tab/>
      </w:r>
      <w:r w:rsidR="008E29F0">
        <w:rPr>
          <w:rFonts w:asciiTheme="minorHAnsi" w:hAnsiTheme="minorHAnsi" w:cstheme="minorHAnsi"/>
          <w:b/>
        </w:rPr>
        <w:t>Short T</w:t>
      </w:r>
      <w:r w:rsidR="004C0ACE" w:rsidRPr="004C0ACE">
        <w:rPr>
          <w:rFonts w:asciiTheme="minorHAnsi" w:hAnsiTheme="minorHAnsi" w:cstheme="minorHAnsi"/>
          <w:b/>
        </w:rPr>
        <w:t>itle</w:t>
      </w:r>
    </w:p>
    <w:p w14:paraId="6B0EFA32" w14:textId="77777777" w:rsidR="00D535D7" w:rsidRDefault="00D535D7" w:rsidP="00700BD1">
      <w:pPr>
        <w:spacing w:after="240" w:line="360" w:lineRule="auto"/>
        <w:contextualSpacing/>
        <w:rPr>
          <w:rFonts w:asciiTheme="minorHAnsi" w:hAnsiTheme="minorHAnsi" w:cstheme="minorHAnsi"/>
          <w:i/>
        </w:rPr>
      </w:pPr>
    </w:p>
    <w:p w14:paraId="0A0B088A" w14:textId="243D9F24" w:rsidR="004C0ACE" w:rsidRPr="004C0ACE" w:rsidRDefault="004C0ACE" w:rsidP="00700BD1">
      <w:pPr>
        <w:spacing w:after="240" w:line="360" w:lineRule="auto"/>
        <w:contextualSpacing/>
        <w:rPr>
          <w:rFonts w:asciiTheme="minorHAnsi" w:hAnsiTheme="minorHAnsi" w:cstheme="minorHAnsi"/>
          <w:i/>
        </w:rPr>
      </w:pPr>
      <w:r w:rsidRPr="004C0ACE">
        <w:rPr>
          <w:rFonts w:asciiTheme="minorHAnsi" w:hAnsiTheme="minorHAnsi" w:cstheme="minorHAnsi"/>
          <w:i/>
        </w:rPr>
        <w:t>Provide along the following lines:</w:t>
      </w:r>
    </w:p>
    <w:p w14:paraId="0FCA2F71" w14:textId="77777777" w:rsidR="00D535D7" w:rsidRDefault="00D535D7" w:rsidP="00700BD1">
      <w:pPr>
        <w:spacing w:after="240" w:line="360" w:lineRule="auto"/>
        <w:contextualSpacing/>
        <w:rPr>
          <w:rFonts w:asciiTheme="minorHAnsi" w:hAnsiTheme="minorHAnsi" w:cstheme="minorHAnsi"/>
        </w:rPr>
      </w:pPr>
    </w:p>
    <w:p w14:paraId="5ED4C45F" w14:textId="0240B262" w:rsidR="004C0ACE" w:rsidRPr="001922C1" w:rsidRDefault="004C0ACE" w:rsidP="009D706C">
      <w:pPr>
        <w:spacing w:after="240" w:line="360" w:lineRule="auto"/>
        <w:jc w:val="both"/>
        <w:rPr>
          <w:rFonts w:asciiTheme="minorHAnsi" w:hAnsiTheme="minorHAnsi" w:cstheme="minorHAnsi"/>
        </w:rPr>
      </w:pPr>
      <w:r w:rsidRPr="001922C1">
        <w:rPr>
          <w:rFonts w:asciiTheme="minorHAnsi" w:hAnsiTheme="minorHAnsi" w:cstheme="minorHAnsi"/>
        </w:rPr>
        <w:t xml:space="preserve">This General Scheme may be cited as the General Scheme of a </w:t>
      </w:r>
      <w:r w:rsidR="002E578E" w:rsidRPr="001922C1">
        <w:rPr>
          <w:rFonts w:asciiTheme="minorHAnsi" w:hAnsiTheme="minorHAnsi" w:cstheme="minorHAnsi"/>
        </w:rPr>
        <w:t>Preservation and</w:t>
      </w:r>
      <w:r w:rsidRPr="001922C1">
        <w:rPr>
          <w:rFonts w:asciiTheme="minorHAnsi" w:hAnsiTheme="minorHAnsi" w:cstheme="minorHAnsi"/>
        </w:rPr>
        <w:t xml:space="preserve"> Transfer of Specified Records of the Commission of Investigation (Mother and Baby Homes and certain related Matters) Bill</w:t>
      </w:r>
      <w:r w:rsidR="002E578E" w:rsidRPr="001922C1">
        <w:rPr>
          <w:rFonts w:asciiTheme="minorHAnsi" w:hAnsiTheme="minorHAnsi" w:cstheme="minorHAnsi"/>
        </w:rPr>
        <w:t>.</w:t>
      </w:r>
    </w:p>
    <w:p w14:paraId="022C17A1" w14:textId="229E204E" w:rsidR="005B7D3B" w:rsidRDefault="005B7D3B" w:rsidP="00700BD1">
      <w:pPr>
        <w:spacing w:after="240" w:line="360" w:lineRule="auto"/>
        <w:contextualSpacing/>
        <w:rPr>
          <w:rFonts w:asciiTheme="minorHAnsi" w:hAnsiTheme="minorHAnsi" w:cstheme="minorHAnsi"/>
          <w:b/>
        </w:rPr>
      </w:pPr>
    </w:p>
    <w:p w14:paraId="5D5EBE37" w14:textId="77777777" w:rsidR="000C2D65" w:rsidRDefault="000C2D65" w:rsidP="00700BD1">
      <w:pPr>
        <w:spacing w:after="240" w:line="360" w:lineRule="auto"/>
        <w:contextualSpacing/>
        <w:rPr>
          <w:rFonts w:asciiTheme="minorHAnsi" w:hAnsiTheme="minorHAnsi" w:cstheme="minorHAnsi"/>
          <w:b/>
        </w:rPr>
      </w:pPr>
    </w:p>
    <w:p w14:paraId="585F36A3" w14:textId="77777777" w:rsidR="000C2D65" w:rsidRDefault="000C2D65" w:rsidP="00700BD1">
      <w:pPr>
        <w:spacing w:after="240" w:line="360" w:lineRule="auto"/>
        <w:contextualSpacing/>
        <w:rPr>
          <w:rFonts w:asciiTheme="minorHAnsi" w:hAnsiTheme="minorHAnsi" w:cstheme="minorHAnsi"/>
          <w:b/>
        </w:rPr>
      </w:pPr>
      <w:r w:rsidRPr="000C2D65">
        <w:rPr>
          <w:rFonts w:asciiTheme="minorHAnsi" w:hAnsiTheme="minorHAnsi" w:cstheme="minorHAnsi"/>
          <w:b/>
        </w:rPr>
        <w:t>Explanatory Note</w:t>
      </w:r>
      <w:r w:rsidR="00EE2F72" w:rsidRPr="000C2D65">
        <w:rPr>
          <w:rFonts w:asciiTheme="minorHAnsi" w:hAnsiTheme="minorHAnsi" w:cstheme="minorHAnsi"/>
          <w:b/>
        </w:rPr>
        <w:t xml:space="preserve">: </w:t>
      </w:r>
    </w:p>
    <w:p w14:paraId="41CAB05E" w14:textId="02B52B3E" w:rsidR="005B7D3B" w:rsidRPr="000C2D65" w:rsidRDefault="004E2920" w:rsidP="004E2920">
      <w:pPr>
        <w:spacing w:after="240" w:line="360" w:lineRule="auto"/>
        <w:contextualSpacing/>
        <w:jc w:val="both"/>
        <w:rPr>
          <w:rFonts w:asciiTheme="minorHAnsi" w:hAnsiTheme="minorHAnsi" w:cstheme="minorHAnsi"/>
        </w:rPr>
      </w:pPr>
      <w:r>
        <w:rPr>
          <w:rFonts w:asciiTheme="minorHAnsi" w:hAnsiTheme="minorHAnsi" w:cstheme="minorHAnsi"/>
        </w:rPr>
        <w:t>A commencement provision is not proposed because t</w:t>
      </w:r>
      <w:r w:rsidR="000C2D65" w:rsidRPr="000C2D65">
        <w:rPr>
          <w:rFonts w:asciiTheme="minorHAnsi" w:hAnsiTheme="minorHAnsi" w:cstheme="minorHAnsi"/>
        </w:rPr>
        <w:t xml:space="preserve">he Act should commence on the day it is signed into law. </w:t>
      </w:r>
      <w:r w:rsidR="00771279">
        <w:rPr>
          <w:rFonts w:asciiTheme="minorHAnsi" w:hAnsiTheme="minorHAnsi" w:cstheme="minorHAnsi"/>
        </w:rPr>
        <w:t>Im</w:t>
      </w:r>
      <w:r w:rsidR="004C0ACE" w:rsidRPr="000C2D65">
        <w:rPr>
          <w:rFonts w:asciiTheme="minorHAnsi" w:hAnsiTheme="minorHAnsi" w:cstheme="minorHAnsi"/>
        </w:rPr>
        <w:t xml:space="preserve">mediate </w:t>
      </w:r>
      <w:r w:rsidR="002E578E">
        <w:rPr>
          <w:rFonts w:asciiTheme="minorHAnsi" w:hAnsiTheme="minorHAnsi" w:cstheme="minorHAnsi"/>
        </w:rPr>
        <w:t xml:space="preserve">commencement </w:t>
      </w:r>
      <w:r w:rsidR="00E462AD" w:rsidRPr="000C2D65">
        <w:rPr>
          <w:rFonts w:asciiTheme="minorHAnsi" w:hAnsiTheme="minorHAnsi" w:cstheme="minorHAnsi"/>
        </w:rPr>
        <w:t>is</w:t>
      </w:r>
      <w:r w:rsidR="004C0ACE" w:rsidRPr="000C2D65">
        <w:rPr>
          <w:rFonts w:asciiTheme="minorHAnsi" w:hAnsiTheme="minorHAnsi" w:cstheme="minorHAnsi"/>
        </w:rPr>
        <w:t xml:space="preserve"> required prior to the submission of the final report of the Commission of Investigation (Mother and Baby Homes and certain related Matters)</w:t>
      </w:r>
      <w:r w:rsidR="00E462AD" w:rsidRPr="000C2D65">
        <w:rPr>
          <w:rFonts w:asciiTheme="minorHAnsi" w:hAnsiTheme="minorHAnsi" w:cstheme="minorHAnsi"/>
        </w:rPr>
        <w:t xml:space="preserve"> </w:t>
      </w:r>
      <w:r w:rsidR="002E578E">
        <w:rPr>
          <w:rFonts w:asciiTheme="minorHAnsi" w:hAnsiTheme="minorHAnsi" w:cstheme="minorHAnsi"/>
        </w:rPr>
        <w:t>and the transfer of records t</w:t>
      </w:r>
      <w:r w:rsidR="004C0ACE" w:rsidRPr="000C2D65">
        <w:rPr>
          <w:rFonts w:asciiTheme="minorHAnsi" w:hAnsiTheme="minorHAnsi" w:cstheme="minorHAnsi"/>
        </w:rPr>
        <w:t>o the specified Minister in accordance with Section 43(2) of the Commissions of Investigation Act 2004</w:t>
      </w:r>
      <w:r w:rsidR="009D706C">
        <w:rPr>
          <w:rFonts w:asciiTheme="minorHAnsi" w:hAnsiTheme="minorHAnsi" w:cstheme="minorHAnsi"/>
        </w:rPr>
        <w:t>, at which point the Commission shall be dissolved in law</w:t>
      </w:r>
      <w:r w:rsidR="002E578E">
        <w:rPr>
          <w:rFonts w:asciiTheme="minorHAnsi" w:hAnsiTheme="minorHAnsi" w:cstheme="minorHAnsi"/>
        </w:rPr>
        <w:t xml:space="preserve">.  </w:t>
      </w:r>
    </w:p>
    <w:p w14:paraId="50029C9B" w14:textId="77777777" w:rsidR="005B7D3B" w:rsidRDefault="005B7D3B" w:rsidP="00700BD1">
      <w:pPr>
        <w:spacing w:after="240" w:line="360" w:lineRule="auto"/>
        <w:contextualSpacing/>
        <w:rPr>
          <w:rFonts w:asciiTheme="minorHAnsi" w:hAnsiTheme="minorHAnsi" w:cstheme="minorHAnsi"/>
        </w:rPr>
      </w:pPr>
      <w:r>
        <w:rPr>
          <w:rFonts w:asciiTheme="minorHAnsi" w:hAnsiTheme="minorHAnsi" w:cstheme="minorHAnsi"/>
        </w:rPr>
        <w:br w:type="page"/>
      </w:r>
    </w:p>
    <w:p w14:paraId="1BEDB0F5" w14:textId="2AF86378" w:rsidR="009E5305" w:rsidRPr="009E5305" w:rsidRDefault="00E00DE9" w:rsidP="009E5305">
      <w:pPr>
        <w:spacing w:after="240" w:line="360" w:lineRule="auto"/>
        <w:contextualSpacing/>
        <w:rPr>
          <w:rFonts w:asciiTheme="minorHAnsi" w:hAnsiTheme="minorHAnsi" w:cstheme="minorHAnsi"/>
        </w:rPr>
      </w:pPr>
      <w:r>
        <w:rPr>
          <w:rFonts w:asciiTheme="minorHAnsi" w:hAnsiTheme="minorHAnsi" w:cstheme="minorHAnsi"/>
          <w:b/>
        </w:rPr>
        <w:lastRenderedPageBreak/>
        <w:t>HEAD</w:t>
      </w:r>
      <w:r w:rsidR="008E29F0">
        <w:rPr>
          <w:rFonts w:asciiTheme="minorHAnsi" w:hAnsiTheme="minorHAnsi" w:cstheme="minorHAnsi"/>
          <w:b/>
        </w:rPr>
        <w:t xml:space="preserve"> </w:t>
      </w:r>
      <w:r w:rsidR="009D706C">
        <w:rPr>
          <w:rFonts w:asciiTheme="minorHAnsi" w:hAnsiTheme="minorHAnsi" w:cstheme="minorHAnsi"/>
          <w:b/>
        </w:rPr>
        <w:t>2</w:t>
      </w:r>
      <w:r w:rsidR="009E5305">
        <w:rPr>
          <w:rFonts w:asciiTheme="minorHAnsi" w:hAnsiTheme="minorHAnsi" w:cstheme="minorHAnsi"/>
          <w:b/>
        </w:rPr>
        <w:t xml:space="preserve"> – Interpretation </w:t>
      </w:r>
    </w:p>
    <w:p w14:paraId="26B37479" w14:textId="77777777" w:rsidR="00696190" w:rsidRDefault="00696190" w:rsidP="00D90E2C">
      <w:pPr>
        <w:autoSpaceDE w:val="0"/>
        <w:autoSpaceDN w:val="0"/>
        <w:adjustRightInd w:val="0"/>
        <w:spacing w:after="240" w:line="276" w:lineRule="auto"/>
        <w:rPr>
          <w:rFonts w:asciiTheme="minorHAnsi" w:hAnsiTheme="minorHAnsi" w:cs="Arial"/>
          <w:i/>
          <w:color w:val="000000"/>
        </w:rPr>
      </w:pPr>
    </w:p>
    <w:p w14:paraId="636D6F33" w14:textId="2387AAE2" w:rsidR="00D90E2C" w:rsidRPr="000C2D65" w:rsidRDefault="00D90E2C" w:rsidP="00D90E2C">
      <w:pPr>
        <w:autoSpaceDE w:val="0"/>
        <w:autoSpaceDN w:val="0"/>
        <w:adjustRightInd w:val="0"/>
        <w:spacing w:after="240" w:line="276" w:lineRule="auto"/>
        <w:rPr>
          <w:rFonts w:asciiTheme="minorHAnsi" w:hAnsiTheme="minorHAnsi" w:cs="Arial"/>
          <w:i/>
          <w:color w:val="000000"/>
        </w:rPr>
      </w:pPr>
      <w:r w:rsidRPr="000C2D65">
        <w:rPr>
          <w:rFonts w:asciiTheme="minorHAnsi" w:hAnsiTheme="minorHAnsi" w:cs="Arial"/>
          <w:i/>
          <w:color w:val="000000"/>
        </w:rPr>
        <w:t>Provide along the following lines:</w:t>
      </w:r>
    </w:p>
    <w:p w14:paraId="08AA6B32" w14:textId="77777777" w:rsidR="009E5305" w:rsidRPr="000C2D65" w:rsidRDefault="009E5305" w:rsidP="009E5305">
      <w:pPr>
        <w:spacing w:after="240" w:line="360" w:lineRule="auto"/>
        <w:contextualSpacing/>
        <w:rPr>
          <w:rFonts w:asciiTheme="minorHAnsi" w:hAnsiTheme="minorHAnsi" w:cstheme="minorHAnsi"/>
        </w:rPr>
      </w:pPr>
    </w:p>
    <w:p w14:paraId="0CDF0C86" w14:textId="77777777" w:rsidR="009E5305" w:rsidRPr="000C2D65" w:rsidRDefault="009E5305" w:rsidP="00BF20E5">
      <w:pPr>
        <w:spacing w:after="240" w:line="360" w:lineRule="auto"/>
        <w:contextualSpacing/>
        <w:jc w:val="both"/>
        <w:rPr>
          <w:rFonts w:asciiTheme="minorHAnsi" w:hAnsiTheme="minorHAnsi" w:cstheme="minorHAnsi"/>
        </w:rPr>
      </w:pPr>
      <w:r w:rsidRPr="000C2D65">
        <w:rPr>
          <w:rFonts w:asciiTheme="minorHAnsi" w:hAnsiTheme="minorHAnsi" w:cstheme="minorHAnsi"/>
        </w:rPr>
        <w:t>DEFINITIONS:</w:t>
      </w:r>
    </w:p>
    <w:p w14:paraId="0D7CF1A8" w14:textId="036C36DD" w:rsidR="009E5305" w:rsidRPr="000C2D65" w:rsidRDefault="009E5305" w:rsidP="00BF20E5">
      <w:pPr>
        <w:spacing w:after="240" w:line="360" w:lineRule="auto"/>
        <w:contextualSpacing/>
        <w:jc w:val="both"/>
        <w:rPr>
          <w:rFonts w:asciiTheme="minorHAnsi" w:hAnsiTheme="minorHAnsi" w:cstheme="minorHAnsi"/>
        </w:rPr>
      </w:pPr>
      <w:r w:rsidRPr="000C2D65">
        <w:rPr>
          <w:rFonts w:asciiTheme="minorHAnsi" w:hAnsiTheme="minorHAnsi" w:cstheme="minorHAnsi"/>
        </w:rPr>
        <w:t>In this Act –</w:t>
      </w:r>
    </w:p>
    <w:p w14:paraId="3C149B4B" w14:textId="7A3F3401" w:rsidR="009E5305" w:rsidRPr="009E5305" w:rsidRDefault="009E5305" w:rsidP="00BF20E5">
      <w:pPr>
        <w:spacing w:after="240" w:line="360" w:lineRule="auto"/>
        <w:contextualSpacing/>
        <w:jc w:val="both"/>
        <w:rPr>
          <w:rFonts w:asciiTheme="minorHAnsi" w:hAnsiTheme="minorHAnsi" w:cstheme="minorHAnsi"/>
        </w:rPr>
      </w:pPr>
      <w:r w:rsidRPr="009E5305">
        <w:rPr>
          <w:rFonts w:asciiTheme="minorHAnsi" w:hAnsiTheme="minorHAnsi" w:cstheme="minorHAnsi"/>
        </w:rPr>
        <w:t>“</w:t>
      </w:r>
      <w:r w:rsidRPr="009E5305">
        <w:rPr>
          <w:rFonts w:asciiTheme="minorHAnsi" w:hAnsiTheme="minorHAnsi" w:cstheme="minorHAnsi"/>
          <w:b/>
        </w:rPr>
        <w:t>Commission</w:t>
      </w:r>
      <w:r w:rsidRPr="009E5305">
        <w:rPr>
          <w:rFonts w:asciiTheme="minorHAnsi" w:hAnsiTheme="minorHAnsi" w:cstheme="minorHAnsi"/>
        </w:rPr>
        <w:t>” means the Commission of Investigation (Mot</w:t>
      </w:r>
      <w:r>
        <w:rPr>
          <w:rFonts w:asciiTheme="minorHAnsi" w:hAnsiTheme="minorHAnsi" w:cstheme="minorHAnsi"/>
        </w:rPr>
        <w:t>her and Baby Homes and certain related Matters</w:t>
      </w:r>
      <w:r w:rsidRPr="009E5305">
        <w:rPr>
          <w:rFonts w:asciiTheme="minorHAnsi" w:hAnsiTheme="minorHAnsi" w:cstheme="minorHAnsi"/>
        </w:rPr>
        <w:t>) established by Government Order made on 17th February 2015</w:t>
      </w:r>
      <w:r>
        <w:rPr>
          <w:rFonts w:asciiTheme="minorHAnsi" w:hAnsiTheme="minorHAnsi" w:cstheme="minorHAnsi"/>
        </w:rPr>
        <w:t xml:space="preserve"> [S.I. No 17 of 2015]</w:t>
      </w:r>
      <w:r w:rsidRPr="009E5305">
        <w:rPr>
          <w:rFonts w:asciiTheme="minorHAnsi" w:hAnsiTheme="minorHAnsi" w:cstheme="minorHAnsi"/>
        </w:rPr>
        <w:t>;</w:t>
      </w:r>
    </w:p>
    <w:p w14:paraId="7D966CFA" w14:textId="77777777" w:rsidR="009E5305" w:rsidRPr="009E5305" w:rsidRDefault="009E5305" w:rsidP="00BF20E5">
      <w:pPr>
        <w:spacing w:after="240" w:line="360" w:lineRule="auto"/>
        <w:contextualSpacing/>
        <w:jc w:val="both"/>
        <w:rPr>
          <w:rFonts w:asciiTheme="minorHAnsi" w:hAnsiTheme="minorHAnsi" w:cstheme="minorHAnsi"/>
        </w:rPr>
      </w:pPr>
    </w:p>
    <w:p w14:paraId="3401003D" w14:textId="763D6C84" w:rsidR="009E5305" w:rsidRPr="009E5305" w:rsidRDefault="009E5305" w:rsidP="00BF20E5">
      <w:pPr>
        <w:spacing w:after="240" w:line="360" w:lineRule="auto"/>
        <w:contextualSpacing/>
        <w:jc w:val="both"/>
        <w:rPr>
          <w:rFonts w:asciiTheme="minorHAnsi" w:hAnsiTheme="minorHAnsi" w:cstheme="minorHAnsi"/>
        </w:rPr>
      </w:pPr>
      <w:r>
        <w:rPr>
          <w:rFonts w:asciiTheme="minorHAnsi" w:hAnsiTheme="minorHAnsi" w:cstheme="minorHAnsi"/>
        </w:rPr>
        <w:t>“</w:t>
      </w:r>
      <w:r>
        <w:rPr>
          <w:rFonts w:asciiTheme="minorHAnsi" w:hAnsiTheme="minorHAnsi" w:cstheme="minorHAnsi"/>
          <w:b/>
        </w:rPr>
        <w:t>R</w:t>
      </w:r>
      <w:r w:rsidRPr="009E5305">
        <w:rPr>
          <w:rFonts w:asciiTheme="minorHAnsi" w:hAnsiTheme="minorHAnsi" w:cstheme="minorHAnsi"/>
          <w:b/>
        </w:rPr>
        <w:t>ecord</w:t>
      </w:r>
      <w:r w:rsidRPr="009E5305">
        <w:rPr>
          <w:rFonts w:asciiTheme="minorHAnsi" w:hAnsiTheme="minorHAnsi" w:cstheme="minorHAnsi"/>
        </w:rPr>
        <w:t>” means a document in any form (including any electronic form) made or received, b</w:t>
      </w:r>
      <w:r w:rsidR="00E20E1B">
        <w:rPr>
          <w:rFonts w:asciiTheme="minorHAnsi" w:hAnsiTheme="minorHAnsi" w:cstheme="minorHAnsi"/>
        </w:rPr>
        <w:t>y the Commission</w:t>
      </w:r>
      <w:r w:rsidRPr="009E5305">
        <w:rPr>
          <w:rFonts w:asciiTheme="minorHAnsi" w:hAnsiTheme="minorHAnsi" w:cstheme="minorHAnsi"/>
        </w:rPr>
        <w:t>, in the performance of its functions, and includes copies of any such records;</w:t>
      </w:r>
      <w:r w:rsidR="00E20E1B">
        <w:rPr>
          <w:rFonts w:asciiTheme="minorHAnsi" w:hAnsiTheme="minorHAnsi" w:cstheme="minorHAnsi"/>
        </w:rPr>
        <w:t xml:space="preserve"> </w:t>
      </w:r>
      <w:r w:rsidRPr="009E5305">
        <w:rPr>
          <w:rFonts w:asciiTheme="minorHAnsi" w:hAnsiTheme="minorHAnsi" w:cstheme="minorHAnsi"/>
        </w:rPr>
        <w:t>And includes any database creat</w:t>
      </w:r>
      <w:r w:rsidR="009D706C">
        <w:rPr>
          <w:rFonts w:asciiTheme="minorHAnsi" w:hAnsiTheme="minorHAnsi" w:cstheme="minorHAnsi"/>
        </w:rPr>
        <w:t>ed by the Commission;</w:t>
      </w:r>
    </w:p>
    <w:p w14:paraId="474ABA63" w14:textId="77777777" w:rsidR="009E5305" w:rsidRPr="009E5305" w:rsidRDefault="009E5305" w:rsidP="00BF20E5">
      <w:pPr>
        <w:spacing w:after="240" w:line="360" w:lineRule="auto"/>
        <w:contextualSpacing/>
        <w:jc w:val="both"/>
        <w:rPr>
          <w:rFonts w:asciiTheme="minorHAnsi" w:hAnsiTheme="minorHAnsi" w:cstheme="minorHAnsi"/>
        </w:rPr>
      </w:pPr>
    </w:p>
    <w:p w14:paraId="18DD4B2C" w14:textId="42BE17DB" w:rsidR="009E5305" w:rsidRDefault="009E5305" w:rsidP="00BF20E5">
      <w:pPr>
        <w:spacing w:after="240" w:line="360" w:lineRule="auto"/>
        <w:contextualSpacing/>
        <w:jc w:val="both"/>
        <w:rPr>
          <w:rFonts w:asciiTheme="minorHAnsi" w:hAnsiTheme="minorHAnsi" w:cstheme="minorHAnsi"/>
        </w:rPr>
      </w:pPr>
      <w:r w:rsidRPr="009E5305">
        <w:rPr>
          <w:rFonts w:asciiTheme="minorHAnsi" w:hAnsiTheme="minorHAnsi" w:cstheme="minorHAnsi"/>
        </w:rPr>
        <w:t>“</w:t>
      </w:r>
      <w:r w:rsidR="00EF481C">
        <w:rPr>
          <w:rFonts w:asciiTheme="minorHAnsi" w:hAnsiTheme="minorHAnsi" w:cstheme="minorHAnsi"/>
          <w:b/>
        </w:rPr>
        <w:t>Specified</w:t>
      </w:r>
      <w:r w:rsidRPr="009E5305">
        <w:rPr>
          <w:rFonts w:asciiTheme="minorHAnsi" w:hAnsiTheme="minorHAnsi" w:cstheme="minorHAnsi"/>
          <w:b/>
        </w:rPr>
        <w:t xml:space="preserve"> database</w:t>
      </w:r>
      <w:r w:rsidRPr="009E5305">
        <w:rPr>
          <w:rFonts w:asciiTheme="minorHAnsi" w:hAnsiTheme="minorHAnsi" w:cstheme="minorHAnsi"/>
        </w:rPr>
        <w:t xml:space="preserve">” means the database </w:t>
      </w:r>
      <w:r>
        <w:rPr>
          <w:rFonts w:asciiTheme="minorHAnsi" w:hAnsiTheme="minorHAnsi" w:cstheme="minorHAnsi"/>
        </w:rPr>
        <w:t xml:space="preserve">of former residents of the institutions listed in Appendix 1 to the Schedule attached to </w:t>
      </w:r>
      <w:r w:rsidRPr="009E5305">
        <w:rPr>
          <w:rFonts w:asciiTheme="minorHAnsi" w:hAnsiTheme="minorHAnsi" w:cstheme="minorHAnsi"/>
        </w:rPr>
        <w:t>S.I. No 17 of 2015 created</w:t>
      </w:r>
      <w:r w:rsidR="009D706C">
        <w:rPr>
          <w:rFonts w:asciiTheme="minorHAnsi" w:hAnsiTheme="minorHAnsi" w:cstheme="minorHAnsi"/>
        </w:rPr>
        <w:t xml:space="preserve"> </w:t>
      </w:r>
      <w:r w:rsidRPr="009E5305">
        <w:rPr>
          <w:rFonts w:asciiTheme="minorHAnsi" w:hAnsiTheme="minorHAnsi" w:cstheme="minorHAnsi"/>
        </w:rPr>
        <w:t>by the Commission f</w:t>
      </w:r>
      <w:r>
        <w:rPr>
          <w:rFonts w:asciiTheme="minorHAnsi" w:hAnsiTheme="minorHAnsi" w:cstheme="minorHAnsi"/>
        </w:rPr>
        <w:t>or the purpose of its functions</w:t>
      </w:r>
      <w:r w:rsidRPr="009E5305">
        <w:rPr>
          <w:rFonts w:asciiTheme="minorHAnsi" w:hAnsiTheme="minorHAnsi" w:cstheme="minorHAnsi"/>
        </w:rPr>
        <w:t>;</w:t>
      </w:r>
    </w:p>
    <w:p w14:paraId="68FC0BE9" w14:textId="3325A014" w:rsidR="00E00DE9" w:rsidRDefault="00E00DE9" w:rsidP="00BF20E5">
      <w:pPr>
        <w:spacing w:after="240" w:line="360" w:lineRule="auto"/>
        <w:contextualSpacing/>
        <w:jc w:val="both"/>
        <w:rPr>
          <w:rFonts w:asciiTheme="minorHAnsi" w:hAnsiTheme="minorHAnsi" w:cstheme="minorHAnsi"/>
        </w:rPr>
      </w:pPr>
    </w:p>
    <w:p w14:paraId="457AED0B" w14:textId="745FA36C" w:rsidR="009D706C" w:rsidRDefault="009D706C" w:rsidP="00BF20E5">
      <w:pPr>
        <w:spacing w:after="240" w:line="360" w:lineRule="auto"/>
        <w:contextualSpacing/>
        <w:jc w:val="both"/>
        <w:rPr>
          <w:rFonts w:asciiTheme="minorHAnsi" w:hAnsiTheme="minorHAnsi" w:cstheme="minorHAnsi"/>
        </w:rPr>
      </w:pPr>
      <w:r w:rsidRPr="009D706C">
        <w:rPr>
          <w:rFonts w:asciiTheme="minorHAnsi" w:hAnsiTheme="minorHAnsi" w:cstheme="minorHAnsi"/>
          <w:b/>
        </w:rPr>
        <w:t>“Specified records”</w:t>
      </w:r>
      <w:r>
        <w:rPr>
          <w:rFonts w:asciiTheme="minorHAnsi" w:hAnsiTheme="minorHAnsi" w:cstheme="minorHAnsi"/>
        </w:rPr>
        <w:t xml:space="preserve"> means the primary source records for the data contained within the specified database;</w:t>
      </w:r>
    </w:p>
    <w:p w14:paraId="140D4B51" w14:textId="77777777" w:rsidR="009D706C" w:rsidRDefault="009D706C" w:rsidP="00BF20E5">
      <w:pPr>
        <w:spacing w:after="240" w:line="360" w:lineRule="auto"/>
        <w:contextualSpacing/>
        <w:jc w:val="both"/>
        <w:rPr>
          <w:rFonts w:asciiTheme="minorHAnsi" w:hAnsiTheme="minorHAnsi" w:cstheme="minorHAnsi"/>
        </w:rPr>
      </w:pPr>
    </w:p>
    <w:p w14:paraId="3939A891" w14:textId="5D0F2E2D" w:rsidR="00E00DE9" w:rsidRPr="00E00DE9" w:rsidRDefault="00E00DE9" w:rsidP="00BF20E5">
      <w:pPr>
        <w:spacing w:after="240" w:line="360" w:lineRule="auto"/>
        <w:contextualSpacing/>
        <w:jc w:val="both"/>
        <w:rPr>
          <w:rFonts w:asciiTheme="minorHAnsi" w:hAnsiTheme="minorHAnsi" w:cstheme="minorHAnsi"/>
        </w:rPr>
      </w:pPr>
      <w:r w:rsidRPr="00E00DE9">
        <w:rPr>
          <w:rFonts w:asciiTheme="minorHAnsi" w:hAnsiTheme="minorHAnsi" w:cstheme="minorHAnsi"/>
        </w:rPr>
        <w:t>“</w:t>
      </w:r>
      <w:r w:rsidRPr="00E00DE9">
        <w:rPr>
          <w:rFonts w:asciiTheme="minorHAnsi" w:hAnsiTheme="minorHAnsi" w:cstheme="minorHAnsi"/>
          <w:b/>
        </w:rPr>
        <w:t>Specified Minister</w:t>
      </w:r>
      <w:r w:rsidRPr="00E00DE9">
        <w:rPr>
          <w:rFonts w:asciiTheme="minorHAnsi" w:hAnsiTheme="minorHAnsi" w:cstheme="minorHAnsi"/>
        </w:rPr>
        <w:t xml:space="preserve">” is the </w:t>
      </w:r>
      <w:r>
        <w:rPr>
          <w:rFonts w:asciiTheme="minorHAnsi" w:hAnsiTheme="minorHAnsi" w:cstheme="minorHAnsi"/>
        </w:rPr>
        <w:t>Minister specified in the</w:t>
      </w:r>
      <w:r w:rsidRPr="00E00DE9">
        <w:rPr>
          <w:rFonts w:asciiTheme="minorHAnsi" w:hAnsiTheme="minorHAnsi" w:cstheme="minorHAnsi"/>
        </w:rPr>
        <w:t xml:space="preserve"> Government Order made on 17th February 2015 [S.I. No 17 of 2015]</w:t>
      </w:r>
      <w:r>
        <w:rPr>
          <w:rFonts w:asciiTheme="minorHAnsi" w:hAnsiTheme="minorHAnsi" w:cstheme="minorHAnsi"/>
        </w:rPr>
        <w:t xml:space="preserve"> to establish the Commission </w:t>
      </w:r>
      <w:r w:rsidRPr="00E00DE9">
        <w:rPr>
          <w:rFonts w:asciiTheme="minorHAnsi" w:hAnsiTheme="minorHAnsi" w:cstheme="minorHAnsi"/>
        </w:rPr>
        <w:t>of Investigation (Mother and Baby Homes and certain related Matters)</w:t>
      </w:r>
      <w:r w:rsidR="009D706C">
        <w:rPr>
          <w:rFonts w:asciiTheme="minorHAnsi" w:hAnsiTheme="minorHAnsi" w:cstheme="minorHAnsi"/>
        </w:rPr>
        <w:t>.</w:t>
      </w:r>
    </w:p>
    <w:p w14:paraId="498E0BEA" w14:textId="77777777" w:rsidR="009D706C" w:rsidRDefault="009D706C" w:rsidP="00BF20E5">
      <w:pPr>
        <w:spacing w:after="240" w:line="360" w:lineRule="auto"/>
        <w:contextualSpacing/>
        <w:jc w:val="both"/>
        <w:rPr>
          <w:rFonts w:asciiTheme="minorHAnsi" w:hAnsiTheme="minorHAnsi" w:cstheme="minorHAnsi"/>
          <w:b/>
        </w:rPr>
      </w:pPr>
    </w:p>
    <w:p w14:paraId="3CCC6627" w14:textId="75EE144F" w:rsidR="009D706C" w:rsidRDefault="009D706C" w:rsidP="00BF20E5">
      <w:pPr>
        <w:spacing w:after="240" w:line="360" w:lineRule="auto"/>
        <w:contextualSpacing/>
        <w:jc w:val="both"/>
        <w:rPr>
          <w:rFonts w:asciiTheme="minorHAnsi" w:hAnsiTheme="minorHAnsi" w:cstheme="minorHAnsi"/>
        </w:rPr>
      </w:pPr>
      <w:r>
        <w:rPr>
          <w:rFonts w:asciiTheme="minorHAnsi" w:hAnsiTheme="minorHAnsi" w:cstheme="minorHAnsi"/>
          <w:b/>
        </w:rPr>
        <w:t>Explanatory Note</w:t>
      </w:r>
      <w:r w:rsidRPr="000C2D65">
        <w:rPr>
          <w:rFonts w:asciiTheme="minorHAnsi" w:hAnsiTheme="minorHAnsi" w:cstheme="minorHAnsi"/>
          <w:b/>
        </w:rPr>
        <w:t>:</w:t>
      </w:r>
      <w:r w:rsidRPr="000C2D65">
        <w:rPr>
          <w:rFonts w:asciiTheme="minorHAnsi" w:hAnsiTheme="minorHAnsi" w:cstheme="minorHAnsi"/>
        </w:rPr>
        <w:t xml:space="preserve"> </w:t>
      </w:r>
    </w:p>
    <w:p w14:paraId="5541C57E" w14:textId="5E7AD245" w:rsidR="009D706C" w:rsidRDefault="009D706C" w:rsidP="00BF20E5">
      <w:pPr>
        <w:spacing w:after="160" w:line="259" w:lineRule="auto"/>
        <w:jc w:val="both"/>
        <w:rPr>
          <w:rFonts w:asciiTheme="minorHAnsi" w:hAnsiTheme="minorHAnsi" w:cstheme="minorHAnsi"/>
        </w:rPr>
      </w:pPr>
      <w:r w:rsidRPr="00392519">
        <w:rPr>
          <w:rFonts w:asciiTheme="minorHAnsi" w:hAnsiTheme="minorHAnsi" w:cstheme="minorHAnsi"/>
        </w:rPr>
        <w:t xml:space="preserve">This Head </w:t>
      </w:r>
      <w:r>
        <w:rPr>
          <w:rFonts w:asciiTheme="minorHAnsi" w:hAnsiTheme="minorHAnsi" w:cstheme="minorHAnsi"/>
        </w:rPr>
        <w:t xml:space="preserve">sets out the definitions of key terms used in the Heads of Bill.    </w:t>
      </w:r>
    </w:p>
    <w:p w14:paraId="2ADFF09C" w14:textId="77777777" w:rsidR="00BF20E5" w:rsidRDefault="00BF20E5" w:rsidP="00BF20E5">
      <w:pPr>
        <w:spacing w:after="240" w:line="360" w:lineRule="auto"/>
        <w:contextualSpacing/>
        <w:jc w:val="both"/>
        <w:rPr>
          <w:rFonts w:asciiTheme="minorHAnsi" w:hAnsiTheme="minorHAnsi" w:cstheme="minorHAnsi"/>
        </w:rPr>
      </w:pPr>
    </w:p>
    <w:p w14:paraId="759DC849" w14:textId="53FEDAC5" w:rsidR="00BF20E5" w:rsidRDefault="009D706C" w:rsidP="00BF20E5">
      <w:pPr>
        <w:spacing w:after="240" w:line="360" w:lineRule="auto"/>
        <w:contextualSpacing/>
        <w:jc w:val="both"/>
        <w:rPr>
          <w:rFonts w:asciiTheme="minorHAnsi" w:hAnsiTheme="minorHAnsi" w:cstheme="minorHAnsi"/>
        </w:rPr>
      </w:pPr>
      <w:r w:rsidRPr="00BF20E5">
        <w:rPr>
          <w:rFonts w:asciiTheme="minorHAnsi" w:hAnsiTheme="minorHAnsi" w:cstheme="minorHAnsi"/>
        </w:rPr>
        <w:t xml:space="preserve">The intention is to provide for an overarching definition of “record” which encompasses </w:t>
      </w:r>
      <w:r w:rsidR="00BF20E5" w:rsidRPr="00BF20E5">
        <w:rPr>
          <w:rFonts w:asciiTheme="minorHAnsi" w:hAnsiTheme="minorHAnsi" w:cstheme="minorHAnsi"/>
        </w:rPr>
        <w:t>the entire archive of the Commission (all of which needs to be preserved and not redacted).</w:t>
      </w:r>
      <w:r w:rsidR="00BF20E5">
        <w:rPr>
          <w:rFonts w:asciiTheme="minorHAnsi" w:hAnsiTheme="minorHAnsi" w:cstheme="minorHAnsi"/>
        </w:rPr>
        <w:t xml:space="preserve"> The definitions of the “specified database” and “specified records” are intended to define subsets </w:t>
      </w:r>
      <w:r w:rsidR="00BF20E5">
        <w:rPr>
          <w:rFonts w:asciiTheme="minorHAnsi" w:hAnsiTheme="minorHAnsi" w:cstheme="minorHAnsi"/>
        </w:rPr>
        <w:lastRenderedPageBreak/>
        <w:t>of material which come within the definition of “record” and which a</w:t>
      </w:r>
      <w:r w:rsidR="00080A10">
        <w:rPr>
          <w:rFonts w:asciiTheme="minorHAnsi" w:hAnsiTheme="minorHAnsi" w:cstheme="minorHAnsi"/>
        </w:rPr>
        <w:t>re intended to be transferred</w:t>
      </w:r>
      <w:r w:rsidR="00BF20E5">
        <w:rPr>
          <w:rFonts w:asciiTheme="minorHAnsi" w:hAnsiTheme="minorHAnsi" w:cstheme="minorHAnsi"/>
        </w:rPr>
        <w:t xml:space="preserve">, in complete and unredacted form, to Tusla.  </w:t>
      </w:r>
      <w:r w:rsidR="00BF20E5" w:rsidRPr="00BF20E5">
        <w:rPr>
          <w:rFonts w:asciiTheme="minorHAnsi" w:hAnsiTheme="minorHAnsi" w:cstheme="minorHAnsi"/>
        </w:rPr>
        <w:t xml:space="preserve"> </w:t>
      </w:r>
    </w:p>
    <w:p w14:paraId="25F8B2CF" w14:textId="2671C4F6" w:rsidR="009D706C" w:rsidRPr="00BF20E5" w:rsidRDefault="00BF20E5" w:rsidP="00BF20E5">
      <w:pPr>
        <w:spacing w:after="240" w:line="360" w:lineRule="auto"/>
        <w:contextualSpacing/>
        <w:jc w:val="both"/>
        <w:rPr>
          <w:rFonts w:asciiTheme="minorHAnsi" w:hAnsiTheme="minorHAnsi" w:cstheme="minorHAnsi"/>
        </w:rPr>
      </w:pPr>
      <w:r w:rsidRPr="00BF20E5">
        <w:rPr>
          <w:rFonts w:asciiTheme="minorHAnsi" w:hAnsiTheme="minorHAnsi" w:cstheme="minorHAnsi"/>
        </w:rPr>
        <w:t xml:space="preserve"> </w:t>
      </w:r>
    </w:p>
    <w:p w14:paraId="6500CAF3" w14:textId="3050CA68" w:rsidR="00BF20E5" w:rsidRPr="00BF20E5" w:rsidRDefault="009D706C" w:rsidP="00BF20E5">
      <w:pPr>
        <w:spacing w:after="240" w:line="360" w:lineRule="auto"/>
        <w:contextualSpacing/>
        <w:jc w:val="both"/>
        <w:rPr>
          <w:rFonts w:asciiTheme="minorHAnsi" w:hAnsiTheme="minorHAnsi" w:cstheme="minorHAnsi"/>
        </w:rPr>
      </w:pPr>
      <w:r w:rsidRPr="00BF20E5">
        <w:rPr>
          <w:rFonts w:asciiTheme="minorHAnsi" w:hAnsiTheme="minorHAnsi" w:cstheme="minorHAnsi"/>
        </w:rPr>
        <w:t>In the case of the definition of “record”</w:t>
      </w:r>
      <w:r w:rsidR="00BF20E5" w:rsidRPr="00BF20E5">
        <w:rPr>
          <w:rFonts w:asciiTheme="minorHAnsi" w:hAnsiTheme="minorHAnsi" w:cstheme="minorHAnsi"/>
        </w:rPr>
        <w:t>, t</w:t>
      </w:r>
      <w:r w:rsidRPr="00BF20E5">
        <w:rPr>
          <w:rFonts w:asciiTheme="minorHAnsi" w:hAnsiTheme="minorHAnsi" w:cstheme="minorHAnsi"/>
        </w:rPr>
        <w:t>his definition must be considered further as it interplays with definitions contained in section 43 of the Commissions of Investigation Act 2004</w:t>
      </w:r>
      <w:r w:rsidR="00BF20E5" w:rsidRPr="00BF20E5">
        <w:rPr>
          <w:rFonts w:asciiTheme="minorHAnsi" w:hAnsiTheme="minorHAnsi" w:cstheme="minorHAnsi"/>
        </w:rPr>
        <w:t>.</w:t>
      </w:r>
      <w:r w:rsidRPr="00BF20E5">
        <w:rPr>
          <w:rFonts w:asciiTheme="minorHAnsi" w:hAnsiTheme="minorHAnsi" w:cstheme="minorHAnsi"/>
        </w:rPr>
        <w:t xml:space="preserve"> </w:t>
      </w:r>
    </w:p>
    <w:p w14:paraId="6A1C6187" w14:textId="77777777" w:rsidR="00BF20E5" w:rsidRPr="00BF20E5" w:rsidRDefault="00BF20E5" w:rsidP="00BF20E5">
      <w:pPr>
        <w:spacing w:after="240" w:line="360" w:lineRule="auto"/>
        <w:contextualSpacing/>
        <w:jc w:val="both"/>
        <w:rPr>
          <w:rFonts w:asciiTheme="minorHAnsi" w:hAnsiTheme="minorHAnsi" w:cstheme="minorHAnsi"/>
        </w:rPr>
      </w:pPr>
    </w:p>
    <w:p w14:paraId="1639C8F0" w14:textId="701E0E74" w:rsidR="009D706C" w:rsidRPr="00BF20E5" w:rsidRDefault="00BF20E5" w:rsidP="00BF20E5">
      <w:pPr>
        <w:spacing w:after="240" w:line="360" w:lineRule="auto"/>
        <w:contextualSpacing/>
        <w:jc w:val="both"/>
        <w:rPr>
          <w:rFonts w:asciiTheme="minorHAnsi" w:hAnsiTheme="minorHAnsi" w:cstheme="minorHAnsi"/>
        </w:rPr>
      </w:pPr>
      <w:r w:rsidRPr="00BF20E5">
        <w:rPr>
          <w:rFonts w:asciiTheme="minorHAnsi" w:hAnsiTheme="minorHAnsi" w:cstheme="minorHAnsi"/>
        </w:rPr>
        <w:t>In the case of the definition of “specified database”, this</w:t>
      </w:r>
      <w:r w:rsidR="009D706C" w:rsidRPr="00BF20E5">
        <w:rPr>
          <w:rFonts w:asciiTheme="minorHAnsi" w:hAnsiTheme="minorHAnsi" w:cstheme="minorHAnsi"/>
        </w:rPr>
        <w:t xml:space="preserve"> definition needs to be consistent with the information provided by the Commission in relation to the nature of the database (design, content, functionality).</w:t>
      </w:r>
    </w:p>
    <w:p w14:paraId="255F7643" w14:textId="77777777" w:rsidR="009D706C" w:rsidRDefault="009D706C" w:rsidP="00BF20E5">
      <w:pPr>
        <w:spacing w:after="160" w:line="259" w:lineRule="auto"/>
        <w:jc w:val="both"/>
        <w:rPr>
          <w:rFonts w:asciiTheme="minorHAnsi" w:hAnsiTheme="minorHAnsi" w:cstheme="minorHAnsi"/>
        </w:rPr>
      </w:pPr>
    </w:p>
    <w:p w14:paraId="0ED69971" w14:textId="77777777" w:rsidR="00BF20E5" w:rsidRDefault="00BF20E5" w:rsidP="00BF20E5">
      <w:pPr>
        <w:spacing w:after="160" w:line="259" w:lineRule="auto"/>
        <w:jc w:val="both"/>
        <w:rPr>
          <w:rFonts w:asciiTheme="minorHAnsi" w:hAnsiTheme="minorHAnsi" w:cstheme="minorHAnsi"/>
          <w:b/>
        </w:rPr>
      </w:pPr>
      <w:r>
        <w:rPr>
          <w:rFonts w:asciiTheme="minorHAnsi" w:hAnsiTheme="minorHAnsi" w:cstheme="minorHAnsi"/>
          <w:b/>
        </w:rPr>
        <w:br w:type="page"/>
      </w:r>
    </w:p>
    <w:p w14:paraId="22EF876C" w14:textId="047B72B3" w:rsidR="00D90E2C" w:rsidRDefault="00E00DE9" w:rsidP="00D90E2C">
      <w:pPr>
        <w:spacing w:after="240" w:line="360" w:lineRule="auto"/>
        <w:contextualSpacing/>
        <w:rPr>
          <w:rFonts w:asciiTheme="minorHAnsi" w:hAnsiTheme="minorHAnsi" w:cstheme="minorHAnsi"/>
        </w:rPr>
      </w:pPr>
      <w:r>
        <w:rPr>
          <w:rFonts w:asciiTheme="minorHAnsi" w:hAnsiTheme="minorHAnsi" w:cstheme="minorHAnsi"/>
          <w:b/>
        </w:rPr>
        <w:lastRenderedPageBreak/>
        <w:t>HEAD</w:t>
      </w:r>
      <w:r w:rsidR="00BF20E5">
        <w:rPr>
          <w:rFonts w:asciiTheme="minorHAnsi" w:hAnsiTheme="minorHAnsi" w:cstheme="minorHAnsi"/>
          <w:b/>
        </w:rPr>
        <w:t xml:space="preserve"> 3</w:t>
      </w:r>
      <w:r w:rsidR="00D90E2C">
        <w:rPr>
          <w:rFonts w:asciiTheme="minorHAnsi" w:hAnsiTheme="minorHAnsi" w:cstheme="minorHAnsi"/>
          <w:b/>
        </w:rPr>
        <w:t xml:space="preserve"> – </w:t>
      </w:r>
      <w:r w:rsidR="00D90E2C" w:rsidRPr="00D90E2C">
        <w:rPr>
          <w:rFonts w:asciiTheme="minorHAnsi" w:hAnsiTheme="minorHAnsi" w:cstheme="minorHAnsi"/>
          <w:b/>
        </w:rPr>
        <w:t xml:space="preserve">Transfer of </w:t>
      </w:r>
      <w:r w:rsidR="00BF20E5">
        <w:rPr>
          <w:rFonts w:asciiTheme="minorHAnsi" w:hAnsiTheme="minorHAnsi" w:cstheme="minorHAnsi"/>
          <w:b/>
        </w:rPr>
        <w:t xml:space="preserve">specified </w:t>
      </w:r>
      <w:r w:rsidR="00D90E2C" w:rsidRPr="00D90E2C">
        <w:rPr>
          <w:rFonts w:asciiTheme="minorHAnsi" w:hAnsiTheme="minorHAnsi" w:cstheme="minorHAnsi"/>
          <w:b/>
        </w:rPr>
        <w:t>records, including specified database, on dissolution of the Commissio</w:t>
      </w:r>
      <w:r w:rsidR="0098038F">
        <w:rPr>
          <w:rFonts w:asciiTheme="minorHAnsi" w:hAnsiTheme="minorHAnsi" w:cstheme="minorHAnsi"/>
          <w:b/>
        </w:rPr>
        <w:t>n</w:t>
      </w:r>
    </w:p>
    <w:p w14:paraId="5DE1AF3D" w14:textId="50420966" w:rsidR="00D90E2C" w:rsidRDefault="00D90E2C" w:rsidP="00D90E2C">
      <w:pPr>
        <w:spacing w:after="240" w:line="360" w:lineRule="auto"/>
        <w:contextualSpacing/>
        <w:rPr>
          <w:rFonts w:asciiTheme="minorHAnsi" w:hAnsiTheme="minorHAnsi" w:cstheme="minorHAnsi"/>
          <w:b/>
        </w:rPr>
      </w:pPr>
    </w:p>
    <w:p w14:paraId="20B76269" w14:textId="77777777" w:rsidR="00D90E2C" w:rsidRPr="00C059C3" w:rsidRDefault="00D90E2C" w:rsidP="00D90E2C">
      <w:pPr>
        <w:autoSpaceDE w:val="0"/>
        <w:autoSpaceDN w:val="0"/>
        <w:adjustRightInd w:val="0"/>
        <w:spacing w:after="240" w:line="276" w:lineRule="auto"/>
        <w:rPr>
          <w:rFonts w:ascii="Arial" w:hAnsi="Arial" w:cs="Arial"/>
          <w:i/>
          <w:color w:val="000000"/>
        </w:rPr>
      </w:pPr>
      <w:r w:rsidRPr="00C059C3">
        <w:rPr>
          <w:rFonts w:ascii="Arial" w:hAnsi="Arial" w:cs="Arial"/>
          <w:i/>
          <w:color w:val="000000"/>
        </w:rPr>
        <w:t>Provide along the following lines:</w:t>
      </w:r>
    </w:p>
    <w:p w14:paraId="7C61D555" w14:textId="77777777" w:rsidR="00D90E2C" w:rsidRPr="00D90E2C" w:rsidRDefault="00D90E2C" w:rsidP="00D90E2C">
      <w:pPr>
        <w:spacing w:after="240" w:line="360" w:lineRule="auto"/>
        <w:contextualSpacing/>
        <w:rPr>
          <w:rFonts w:asciiTheme="minorHAnsi" w:hAnsiTheme="minorHAnsi" w:cstheme="minorHAnsi"/>
          <w:b/>
        </w:rPr>
      </w:pPr>
    </w:p>
    <w:p w14:paraId="3C8F298C" w14:textId="6A4460EE" w:rsidR="00D90E2C" w:rsidRPr="00D90E2C" w:rsidRDefault="00D90E2C" w:rsidP="0098038F">
      <w:pPr>
        <w:spacing w:after="240" w:line="360" w:lineRule="auto"/>
        <w:contextualSpacing/>
        <w:jc w:val="both"/>
        <w:rPr>
          <w:rFonts w:asciiTheme="minorHAnsi" w:hAnsiTheme="minorHAnsi" w:cstheme="minorHAnsi"/>
        </w:rPr>
      </w:pPr>
      <w:r w:rsidRPr="00D90E2C">
        <w:rPr>
          <w:rFonts w:asciiTheme="minorHAnsi" w:hAnsiTheme="minorHAnsi" w:cstheme="minorHAnsi"/>
        </w:rPr>
        <w:t>Notwithstanding section 43(2) of the Commissions o</w:t>
      </w:r>
      <w:r w:rsidR="00BF20E5">
        <w:rPr>
          <w:rFonts w:asciiTheme="minorHAnsi" w:hAnsiTheme="minorHAnsi" w:cstheme="minorHAnsi"/>
        </w:rPr>
        <w:t>f Investigation Act 2004</w:t>
      </w:r>
      <w:r w:rsidR="00035A9E">
        <w:rPr>
          <w:rFonts w:asciiTheme="minorHAnsi" w:hAnsiTheme="minorHAnsi" w:cstheme="minorHAnsi"/>
        </w:rPr>
        <w:t xml:space="preserve">, </w:t>
      </w:r>
      <w:r w:rsidRPr="00BF20E5">
        <w:rPr>
          <w:rFonts w:asciiTheme="minorHAnsi" w:hAnsiTheme="minorHAnsi" w:cstheme="minorHAnsi"/>
        </w:rPr>
        <w:t xml:space="preserve">the specified database </w:t>
      </w:r>
      <w:r w:rsidR="008E29F0" w:rsidRPr="00BF20E5">
        <w:rPr>
          <w:rFonts w:asciiTheme="minorHAnsi" w:hAnsiTheme="minorHAnsi" w:cstheme="minorHAnsi"/>
        </w:rPr>
        <w:t xml:space="preserve">and </w:t>
      </w:r>
      <w:r w:rsidR="00BF20E5" w:rsidRPr="00BF20E5">
        <w:rPr>
          <w:rFonts w:asciiTheme="minorHAnsi" w:hAnsiTheme="minorHAnsi" w:cstheme="minorHAnsi"/>
        </w:rPr>
        <w:t xml:space="preserve">specified </w:t>
      </w:r>
      <w:r w:rsidR="008E29F0" w:rsidRPr="00BF20E5">
        <w:rPr>
          <w:rFonts w:asciiTheme="minorHAnsi" w:hAnsiTheme="minorHAnsi" w:cstheme="minorHAnsi"/>
        </w:rPr>
        <w:t>records</w:t>
      </w:r>
      <w:r w:rsidR="008E29F0">
        <w:rPr>
          <w:rFonts w:asciiTheme="minorHAnsi" w:hAnsiTheme="minorHAnsi" w:cstheme="minorHAnsi"/>
        </w:rPr>
        <w:t xml:space="preserve"> </w:t>
      </w:r>
      <w:r w:rsidRPr="00D90E2C">
        <w:rPr>
          <w:rFonts w:asciiTheme="minorHAnsi" w:hAnsiTheme="minorHAnsi" w:cstheme="minorHAnsi"/>
        </w:rPr>
        <w:t>shall, on the dissolution of the Commission -</w:t>
      </w:r>
    </w:p>
    <w:p w14:paraId="2EFBB050" w14:textId="77777777" w:rsidR="008E29F0" w:rsidRDefault="008E29F0" w:rsidP="0098038F">
      <w:pPr>
        <w:spacing w:after="240" w:line="360" w:lineRule="auto"/>
        <w:contextualSpacing/>
        <w:jc w:val="both"/>
        <w:rPr>
          <w:rFonts w:asciiTheme="minorHAnsi" w:hAnsiTheme="minorHAnsi" w:cstheme="minorHAnsi"/>
        </w:rPr>
      </w:pPr>
    </w:p>
    <w:p w14:paraId="506D9B82" w14:textId="540A6CC5" w:rsidR="00D90E2C" w:rsidRPr="00D90E2C" w:rsidRDefault="00D90E2C" w:rsidP="0098038F">
      <w:pPr>
        <w:spacing w:after="240" w:line="360" w:lineRule="auto"/>
        <w:contextualSpacing/>
        <w:jc w:val="both"/>
        <w:rPr>
          <w:rFonts w:asciiTheme="minorHAnsi" w:hAnsiTheme="minorHAnsi" w:cstheme="minorHAnsi"/>
        </w:rPr>
      </w:pPr>
      <w:r w:rsidRPr="00D90E2C">
        <w:rPr>
          <w:rFonts w:asciiTheme="minorHAnsi" w:hAnsiTheme="minorHAnsi" w:cstheme="minorHAnsi"/>
        </w:rPr>
        <w:t>(a) be transferred to TUSLA; and</w:t>
      </w:r>
    </w:p>
    <w:p w14:paraId="17F3B6F3" w14:textId="77777777" w:rsidR="00D90E2C" w:rsidRPr="00D90E2C" w:rsidRDefault="00D90E2C" w:rsidP="0098038F">
      <w:pPr>
        <w:spacing w:after="240" w:line="360" w:lineRule="auto"/>
        <w:contextualSpacing/>
        <w:jc w:val="both"/>
        <w:rPr>
          <w:rFonts w:asciiTheme="minorHAnsi" w:hAnsiTheme="minorHAnsi" w:cstheme="minorHAnsi"/>
        </w:rPr>
      </w:pPr>
      <w:r w:rsidRPr="00D90E2C">
        <w:rPr>
          <w:rFonts w:asciiTheme="minorHAnsi" w:hAnsiTheme="minorHAnsi" w:cstheme="minorHAnsi"/>
        </w:rPr>
        <w:t>(b) be deemed to be records of TUSLA.</w:t>
      </w:r>
    </w:p>
    <w:p w14:paraId="7BBE5141" w14:textId="4884EAAA" w:rsidR="00D90E2C" w:rsidRDefault="00D90E2C" w:rsidP="0098038F">
      <w:pPr>
        <w:spacing w:after="240" w:line="360" w:lineRule="auto"/>
        <w:contextualSpacing/>
        <w:jc w:val="both"/>
        <w:rPr>
          <w:rFonts w:asciiTheme="minorHAnsi" w:hAnsiTheme="minorHAnsi" w:cstheme="minorHAnsi"/>
        </w:rPr>
      </w:pPr>
    </w:p>
    <w:p w14:paraId="2E2B609D" w14:textId="080CFAE6" w:rsidR="006E0BEB" w:rsidRDefault="006E0BEB" w:rsidP="0098038F">
      <w:pPr>
        <w:spacing w:after="240" w:line="360" w:lineRule="auto"/>
        <w:contextualSpacing/>
        <w:jc w:val="both"/>
        <w:rPr>
          <w:rFonts w:asciiTheme="minorHAnsi" w:hAnsiTheme="minorHAnsi" w:cstheme="minorHAnsi"/>
        </w:rPr>
      </w:pPr>
    </w:p>
    <w:p w14:paraId="3CC8E1D1" w14:textId="77777777" w:rsidR="000C2D65" w:rsidRDefault="000C2D65" w:rsidP="00D90E2C">
      <w:pPr>
        <w:spacing w:after="240" w:line="360" w:lineRule="auto"/>
        <w:contextualSpacing/>
        <w:rPr>
          <w:rFonts w:asciiTheme="minorHAnsi" w:hAnsiTheme="minorHAnsi" w:cstheme="minorHAnsi"/>
        </w:rPr>
      </w:pPr>
      <w:r>
        <w:rPr>
          <w:rFonts w:asciiTheme="minorHAnsi" w:hAnsiTheme="minorHAnsi" w:cstheme="minorHAnsi"/>
          <w:b/>
        </w:rPr>
        <w:t>Explanatory Note</w:t>
      </w:r>
      <w:r w:rsidR="006E0BEB" w:rsidRPr="000C2D65">
        <w:rPr>
          <w:rFonts w:asciiTheme="minorHAnsi" w:hAnsiTheme="minorHAnsi" w:cstheme="minorHAnsi"/>
          <w:b/>
        </w:rPr>
        <w:t>:</w:t>
      </w:r>
      <w:r w:rsidR="006E0BEB" w:rsidRPr="000C2D65">
        <w:rPr>
          <w:rFonts w:asciiTheme="minorHAnsi" w:hAnsiTheme="minorHAnsi" w:cstheme="minorHAnsi"/>
        </w:rPr>
        <w:t xml:space="preserve"> </w:t>
      </w:r>
    </w:p>
    <w:p w14:paraId="5CF8F3F0" w14:textId="13172D3C" w:rsidR="00392519" w:rsidRDefault="00392519" w:rsidP="00BF20E5">
      <w:pPr>
        <w:spacing w:after="240" w:line="360" w:lineRule="auto"/>
        <w:contextualSpacing/>
        <w:jc w:val="both"/>
        <w:rPr>
          <w:rFonts w:asciiTheme="minorHAnsi" w:hAnsiTheme="minorHAnsi" w:cstheme="minorHAnsi"/>
        </w:rPr>
      </w:pPr>
      <w:r w:rsidRPr="00392519">
        <w:rPr>
          <w:rFonts w:asciiTheme="minorHAnsi" w:hAnsiTheme="minorHAnsi" w:cstheme="minorHAnsi"/>
        </w:rPr>
        <w:t xml:space="preserve">This Head is designed to provide for </w:t>
      </w:r>
      <w:r w:rsidR="00EE2F72" w:rsidRPr="000C2D65">
        <w:rPr>
          <w:rFonts w:asciiTheme="minorHAnsi" w:hAnsiTheme="minorHAnsi" w:cstheme="minorHAnsi"/>
        </w:rPr>
        <w:t>t</w:t>
      </w:r>
      <w:r w:rsidR="006E0BEB" w:rsidRPr="000C2D65">
        <w:rPr>
          <w:rFonts w:asciiTheme="minorHAnsi" w:hAnsiTheme="minorHAnsi" w:cstheme="minorHAnsi"/>
        </w:rPr>
        <w:t xml:space="preserve">ransfer of the </w:t>
      </w:r>
      <w:r>
        <w:rPr>
          <w:rFonts w:asciiTheme="minorHAnsi" w:hAnsiTheme="minorHAnsi" w:cstheme="minorHAnsi"/>
        </w:rPr>
        <w:t xml:space="preserve">functional </w:t>
      </w:r>
      <w:r w:rsidR="006E0BEB" w:rsidRPr="000C2D65">
        <w:rPr>
          <w:rFonts w:asciiTheme="minorHAnsi" w:hAnsiTheme="minorHAnsi" w:cstheme="minorHAnsi"/>
        </w:rPr>
        <w:t xml:space="preserve">database and </w:t>
      </w:r>
      <w:r>
        <w:rPr>
          <w:rFonts w:asciiTheme="minorHAnsi" w:hAnsiTheme="minorHAnsi" w:cstheme="minorHAnsi"/>
        </w:rPr>
        <w:t xml:space="preserve">related </w:t>
      </w:r>
      <w:r w:rsidR="00BF20E5">
        <w:rPr>
          <w:rFonts w:asciiTheme="minorHAnsi" w:hAnsiTheme="minorHAnsi" w:cstheme="minorHAnsi"/>
        </w:rPr>
        <w:t xml:space="preserve">source </w:t>
      </w:r>
      <w:r w:rsidR="006E0BEB" w:rsidRPr="000C2D65">
        <w:rPr>
          <w:rFonts w:asciiTheme="minorHAnsi" w:hAnsiTheme="minorHAnsi" w:cstheme="minorHAnsi"/>
        </w:rPr>
        <w:t>records directly to Tusla</w:t>
      </w:r>
      <w:r w:rsidR="00BF20E5">
        <w:rPr>
          <w:rFonts w:asciiTheme="minorHAnsi" w:hAnsiTheme="minorHAnsi" w:cstheme="minorHAnsi"/>
        </w:rPr>
        <w:t xml:space="preserve"> by the Commission</w:t>
      </w:r>
      <w:r w:rsidR="006E0BEB" w:rsidRPr="000C2D65">
        <w:rPr>
          <w:rFonts w:asciiTheme="minorHAnsi" w:hAnsiTheme="minorHAnsi" w:cstheme="minorHAnsi"/>
        </w:rPr>
        <w:t xml:space="preserve">. </w:t>
      </w:r>
      <w:r w:rsidRPr="00392519">
        <w:rPr>
          <w:rFonts w:asciiTheme="minorHAnsi" w:hAnsiTheme="minorHAnsi" w:cstheme="minorHAnsi"/>
        </w:rPr>
        <w:t xml:space="preserve">Tusla is considered the appropriate statutory Agency </w:t>
      </w:r>
      <w:r w:rsidR="00BF20E5">
        <w:rPr>
          <w:rFonts w:asciiTheme="minorHAnsi" w:hAnsiTheme="minorHAnsi" w:cstheme="minorHAnsi"/>
        </w:rPr>
        <w:t xml:space="preserve">because </w:t>
      </w:r>
      <w:r w:rsidRPr="00392519">
        <w:rPr>
          <w:rFonts w:asciiTheme="minorHAnsi" w:hAnsiTheme="minorHAnsi" w:cstheme="minorHAnsi"/>
        </w:rPr>
        <w:t xml:space="preserve">it was the source </w:t>
      </w:r>
      <w:r w:rsidR="00BF20E5">
        <w:rPr>
          <w:rFonts w:asciiTheme="minorHAnsi" w:hAnsiTheme="minorHAnsi" w:cstheme="minorHAnsi"/>
        </w:rPr>
        <w:t xml:space="preserve">for the majority of the primary </w:t>
      </w:r>
      <w:r w:rsidRPr="00392519">
        <w:rPr>
          <w:rFonts w:asciiTheme="minorHAnsi" w:hAnsiTheme="minorHAnsi" w:cstheme="minorHAnsi"/>
        </w:rPr>
        <w:t xml:space="preserve">records utilised by the Commission in developing this database and </w:t>
      </w:r>
      <w:r w:rsidR="00BF20E5">
        <w:rPr>
          <w:rFonts w:asciiTheme="minorHAnsi" w:hAnsiTheme="minorHAnsi" w:cstheme="minorHAnsi"/>
        </w:rPr>
        <w:t xml:space="preserve">because of </w:t>
      </w:r>
      <w:r w:rsidRPr="00392519">
        <w:rPr>
          <w:rFonts w:asciiTheme="minorHAnsi" w:hAnsiTheme="minorHAnsi" w:cstheme="minorHAnsi"/>
        </w:rPr>
        <w:t>its current statutory functions</w:t>
      </w:r>
      <w:r w:rsidR="00BF20E5">
        <w:rPr>
          <w:rFonts w:asciiTheme="minorHAnsi" w:hAnsiTheme="minorHAnsi" w:cstheme="minorHAnsi"/>
        </w:rPr>
        <w:t>,</w:t>
      </w:r>
      <w:r w:rsidRPr="00392519">
        <w:rPr>
          <w:rFonts w:asciiTheme="minorHAnsi" w:hAnsiTheme="minorHAnsi" w:cstheme="minorHAnsi"/>
        </w:rPr>
        <w:t xml:space="preserve"> professional social work and related expertise in adoption</w:t>
      </w:r>
      <w:r w:rsidR="00BF20E5">
        <w:rPr>
          <w:rFonts w:asciiTheme="minorHAnsi" w:hAnsiTheme="minorHAnsi" w:cstheme="minorHAnsi"/>
        </w:rPr>
        <w:t>-</w:t>
      </w:r>
      <w:r w:rsidRPr="00392519">
        <w:rPr>
          <w:rFonts w:asciiTheme="minorHAnsi" w:hAnsiTheme="minorHAnsi" w:cstheme="minorHAnsi"/>
        </w:rPr>
        <w:t xml:space="preserve">related services and activities.  </w:t>
      </w:r>
    </w:p>
    <w:p w14:paraId="12CD4286" w14:textId="77777777" w:rsidR="00392519" w:rsidRDefault="00392519" w:rsidP="00BF20E5">
      <w:pPr>
        <w:spacing w:after="240" w:line="360" w:lineRule="auto"/>
        <w:contextualSpacing/>
        <w:jc w:val="both"/>
        <w:rPr>
          <w:rFonts w:asciiTheme="minorHAnsi" w:hAnsiTheme="minorHAnsi" w:cstheme="minorHAnsi"/>
        </w:rPr>
      </w:pPr>
    </w:p>
    <w:p w14:paraId="02C5DE8B" w14:textId="4F85D11C" w:rsidR="00080A10" w:rsidRDefault="00080A10" w:rsidP="00080A10">
      <w:pPr>
        <w:spacing w:after="240" w:line="360" w:lineRule="auto"/>
        <w:contextualSpacing/>
        <w:jc w:val="both"/>
        <w:rPr>
          <w:rFonts w:asciiTheme="minorHAnsi" w:hAnsiTheme="minorHAnsi" w:cstheme="minorHAnsi"/>
        </w:rPr>
      </w:pPr>
      <w:r>
        <w:rPr>
          <w:rFonts w:asciiTheme="minorHAnsi" w:hAnsiTheme="minorHAnsi" w:cstheme="minorHAnsi"/>
        </w:rPr>
        <w:t xml:space="preserve">There is a strong </w:t>
      </w:r>
      <w:r w:rsidRPr="00507109">
        <w:rPr>
          <w:rFonts w:asciiTheme="minorHAnsi" w:hAnsiTheme="minorHAnsi" w:cstheme="minorHAnsi"/>
        </w:rPr>
        <w:t xml:space="preserve">policy rationale for </w:t>
      </w:r>
      <w:r>
        <w:rPr>
          <w:rFonts w:asciiTheme="minorHAnsi" w:hAnsiTheme="minorHAnsi" w:cstheme="minorHAnsi"/>
        </w:rPr>
        <w:t xml:space="preserve">transferring the </w:t>
      </w:r>
      <w:r w:rsidRPr="00507109">
        <w:rPr>
          <w:rFonts w:asciiTheme="minorHAnsi" w:hAnsiTheme="minorHAnsi" w:cstheme="minorHAnsi"/>
        </w:rPr>
        <w:t xml:space="preserve">database in the public interest. A database of this nature is undoubtedly required to support an information and tracing service for individuals who have been adopted or boarded out from </w:t>
      </w:r>
      <w:r>
        <w:rPr>
          <w:rFonts w:asciiTheme="minorHAnsi" w:hAnsiTheme="minorHAnsi" w:cstheme="minorHAnsi"/>
        </w:rPr>
        <w:t>mother and baby</w:t>
      </w:r>
      <w:r w:rsidRPr="00507109">
        <w:rPr>
          <w:rFonts w:asciiTheme="minorHAnsi" w:hAnsiTheme="minorHAnsi" w:cstheme="minorHAnsi"/>
        </w:rPr>
        <w:t xml:space="preserve"> institutions and have fundamental questions about their identity. Given that the source information primarily existed in hard copy ledgers and similar format</w:t>
      </w:r>
      <w:r>
        <w:rPr>
          <w:rFonts w:asciiTheme="minorHAnsi" w:hAnsiTheme="minorHAnsi" w:cstheme="minorHAnsi"/>
        </w:rPr>
        <w:t xml:space="preserve"> documents, the database </w:t>
      </w:r>
      <w:r w:rsidRPr="00507109">
        <w:rPr>
          <w:rFonts w:asciiTheme="minorHAnsi" w:hAnsiTheme="minorHAnsi" w:cstheme="minorHAnsi"/>
        </w:rPr>
        <w:t>makes this information markedly more searchable, reduces the risk of wear and tear on the primary source material, and safeguards against loss of the information in the event of accidental or malicious destruction of the primary source material.</w:t>
      </w:r>
      <w:r>
        <w:rPr>
          <w:rFonts w:asciiTheme="minorHAnsi" w:hAnsiTheme="minorHAnsi" w:cstheme="minorHAnsi"/>
        </w:rPr>
        <w:t xml:space="preserve"> </w:t>
      </w:r>
    </w:p>
    <w:p w14:paraId="5BB40320" w14:textId="77777777" w:rsidR="00080A10" w:rsidRDefault="00080A10" w:rsidP="00080A10">
      <w:pPr>
        <w:spacing w:after="240" w:line="360" w:lineRule="auto"/>
        <w:contextualSpacing/>
        <w:jc w:val="both"/>
        <w:rPr>
          <w:rFonts w:asciiTheme="minorHAnsi" w:hAnsiTheme="minorHAnsi" w:cstheme="minorHAnsi"/>
        </w:rPr>
      </w:pPr>
    </w:p>
    <w:p w14:paraId="0FDCBEC2" w14:textId="77777777" w:rsidR="00080A10" w:rsidRPr="000C2D65" w:rsidRDefault="00080A10" w:rsidP="00080A10">
      <w:pPr>
        <w:spacing w:after="240" w:line="360" w:lineRule="auto"/>
        <w:contextualSpacing/>
        <w:jc w:val="both"/>
        <w:rPr>
          <w:rFonts w:asciiTheme="minorHAnsi" w:hAnsiTheme="minorHAnsi" w:cstheme="minorHAnsi"/>
        </w:rPr>
      </w:pPr>
      <w:r>
        <w:rPr>
          <w:rFonts w:asciiTheme="minorHAnsi" w:hAnsiTheme="minorHAnsi" w:cstheme="minorHAnsi"/>
        </w:rPr>
        <w:t>In tandem with this provision, a</w:t>
      </w:r>
      <w:r w:rsidRPr="000C2D65">
        <w:rPr>
          <w:rFonts w:asciiTheme="minorHAnsi" w:hAnsiTheme="minorHAnsi" w:cstheme="minorHAnsi"/>
        </w:rPr>
        <w:t xml:space="preserve">ll records, including a copy of the specified database and </w:t>
      </w:r>
      <w:r>
        <w:rPr>
          <w:rFonts w:asciiTheme="minorHAnsi" w:hAnsiTheme="minorHAnsi" w:cstheme="minorHAnsi"/>
        </w:rPr>
        <w:t>specified</w:t>
      </w:r>
      <w:r w:rsidRPr="000C2D65">
        <w:rPr>
          <w:rFonts w:asciiTheme="minorHAnsi" w:hAnsiTheme="minorHAnsi" w:cstheme="minorHAnsi"/>
        </w:rPr>
        <w:t xml:space="preserve"> records, </w:t>
      </w:r>
      <w:r>
        <w:rPr>
          <w:rFonts w:asciiTheme="minorHAnsi" w:hAnsiTheme="minorHAnsi" w:cstheme="minorHAnsi"/>
        </w:rPr>
        <w:t>would</w:t>
      </w:r>
      <w:r w:rsidRPr="000C2D65">
        <w:rPr>
          <w:rFonts w:asciiTheme="minorHAnsi" w:hAnsiTheme="minorHAnsi" w:cstheme="minorHAnsi"/>
        </w:rPr>
        <w:t xml:space="preserve"> transfer to the specified Minister, for safeguarding in a sealed manner for a period of 30 years, pending subsequent onward transfer to National Archives in </w:t>
      </w:r>
      <w:r w:rsidRPr="000C2D65">
        <w:rPr>
          <w:rFonts w:asciiTheme="minorHAnsi" w:hAnsiTheme="minorHAnsi" w:cstheme="minorHAnsi"/>
        </w:rPr>
        <w:lastRenderedPageBreak/>
        <w:t>accordance with s.41</w:t>
      </w:r>
      <w:r>
        <w:rPr>
          <w:rFonts w:asciiTheme="minorHAnsi" w:hAnsiTheme="minorHAnsi" w:cstheme="minorHAnsi"/>
        </w:rPr>
        <w:t xml:space="preserve"> of the 2004 Act</w:t>
      </w:r>
      <w:r w:rsidRPr="000C2D65">
        <w:rPr>
          <w:rFonts w:asciiTheme="minorHAnsi" w:hAnsiTheme="minorHAnsi" w:cstheme="minorHAnsi"/>
        </w:rPr>
        <w:t xml:space="preserve">. In is not intended that the Bill would interfere with existing legislative arrangements in this regard. </w:t>
      </w:r>
    </w:p>
    <w:p w14:paraId="3D686EA1" w14:textId="5BD9D9CF" w:rsidR="00B1549D" w:rsidRDefault="00B1549D" w:rsidP="00080A10">
      <w:pPr>
        <w:spacing w:after="240" w:line="360" w:lineRule="auto"/>
        <w:contextualSpacing/>
        <w:jc w:val="both"/>
        <w:rPr>
          <w:rFonts w:asciiTheme="minorHAnsi" w:hAnsiTheme="minorHAnsi" w:cstheme="minorHAnsi"/>
        </w:rPr>
      </w:pPr>
    </w:p>
    <w:p w14:paraId="6DFC6999" w14:textId="06171258" w:rsidR="00B95066" w:rsidRPr="00FA0B51" w:rsidRDefault="00B95066" w:rsidP="00C35D83">
      <w:pPr>
        <w:spacing w:after="240" w:line="360" w:lineRule="auto"/>
        <w:contextualSpacing/>
        <w:jc w:val="both"/>
        <w:rPr>
          <w:rFonts w:asciiTheme="minorHAnsi" w:hAnsiTheme="minorHAnsi"/>
        </w:rPr>
      </w:pPr>
      <w:r>
        <w:rPr>
          <w:rFonts w:asciiTheme="minorHAnsi" w:hAnsiTheme="minorHAnsi"/>
        </w:rPr>
        <w:t>Fi</w:t>
      </w:r>
      <w:r w:rsidR="00C35D83">
        <w:rPr>
          <w:rFonts w:asciiTheme="minorHAnsi" w:hAnsiTheme="minorHAnsi"/>
        </w:rPr>
        <w:t xml:space="preserve">nally, this Head employs a non-textual amendment to section 43 of the 2004 Act.  </w:t>
      </w:r>
      <w:r w:rsidR="00C35D83" w:rsidRPr="00C35D83">
        <w:rPr>
          <w:rFonts w:asciiTheme="minorHAnsi" w:hAnsiTheme="minorHAnsi"/>
        </w:rPr>
        <w:t xml:space="preserve">This </w:t>
      </w:r>
      <w:r w:rsidR="00C35D83">
        <w:rPr>
          <w:rFonts w:asciiTheme="minorHAnsi" w:hAnsiTheme="minorHAnsi"/>
        </w:rPr>
        <w:t xml:space="preserve">reflects the fact that the </w:t>
      </w:r>
      <w:r w:rsidR="00C35D83" w:rsidRPr="00C35D83">
        <w:rPr>
          <w:rFonts w:asciiTheme="minorHAnsi" w:hAnsiTheme="minorHAnsi"/>
        </w:rPr>
        <w:t xml:space="preserve">Bill purports to provide for particular treatment of the </w:t>
      </w:r>
      <w:r w:rsidR="00C35D83">
        <w:rPr>
          <w:rFonts w:asciiTheme="minorHAnsi" w:hAnsiTheme="minorHAnsi"/>
        </w:rPr>
        <w:t xml:space="preserve">specified </w:t>
      </w:r>
      <w:r w:rsidR="00C35D83" w:rsidRPr="00C35D83">
        <w:rPr>
          <w:rFonts w:asciiTheme="minorHAnsi" w:hAnsiTheme="minorHAnsi"/>
        </w:rPr>
        <w:t xml:space="preserve">records and specified database of the Commission for a bespoke and focussed purpose.  It does not purport to amend section 43 of the </w:t>
      </w:r>
      <w:r w:rsidR="00C35D83">
        <w:rPr>
          <w:rFonts w:asciiTheme="minorHAnsi" w:hAnsiTheme="minorHAnsi"/>
        </w:rPr>
        <w:t xml:space="preserve">2004 </w:t>
      </w:r>
      <w:r w:rsidR="00C35D83" w:rsidRPr="00C35D83">
        <w:rPr>
          <w:rFonts w:asciiTheme="minorHAnsi" w:hAnsiTheme="minorHAnsi"/>
        </w:rPr>
        <w:t>Act</w:t>
      </w:r>
      <w:r w:rsidR="00C35D83">
        <w:rPr>
          <w:rFonts w:asciiTheme="minorHAnsi" w:hAnsiTheme="minorHAnsi"/>
        </w:rPr>
        <w:t xml:space="preserve"> </w:t>
      </w:r>
      <w:r w:rsidR="00C35D83" w:rsidRPr="00C35D83">
        <w:rPr>
          <w:rFonts w:asciiTheme="minorHAnsi" w:hAnsiTheme="minorHAnsi"/>
        </w:rPr>
        <w:t xml:space="preserve">in its general application. </w:t>
      </w:r>
      <w:r w:rsidR="00C35D83">
        <w:rPr>
          <w:rFonts w:asciiTheme="minorHAnsi" w:hAnsiTheme="minorHAnsi"/>
        </w:rPr>
        <w:t xml:space="preserve">It is noted that the drafting approach will be a matter for Parliamentary Counsel and, depending on the approach taken, it may involve providing for explicit </w:t>
      </w:r>
      <w:r w:rsidRPr="00FA0B51">
        <w:rPr>
          <w:rFonts w:asciiTheme="minorHAnsi" w:hAnsiTheme="minorHAnsi"/>
        </w:rPr>
        <w:t>amendment of section 43 of the Commissions of Investigation Bill 2004; National Archives Act 1986; Commission of Investigation (Mother and Baby Homes and Certain Other Matters) Order, 2015 S.I. No.57 of 2015.</w:t>
      </w:r>
    </w:p>
    <w:p w14:paraId="076C01A1" w14:textId="77777777" w:rsidR="00B95066" w:rsidRPr="00FA0B51" w:rsidRDefault="00B95066" w:rsidP="00C35D83">
      <w:pPr>
        <w:spacing w:after="240" w:line="360" w:lineRule="auto"/>
        <w:contextualSpacing/>
        <w:jc w:val="both"/>
        <w:rPr>
          <w:rFonts w:asciiTheme="minorHAnsi" w:hAnsiTheme="minorHAnsi"/>
        </w:rPr>
      </w:pPr>
    </w:p>
    <w:p w14:paraId="47CA6E55" w14:textId="77777777" w:rsidR="008E29F0" w:rsidRDefault="008E29F0">
      <w:pPr>
        <w:spacing w:after="160" w:line="259" w:lineRule="auto"/>
        <w:rPr>
          <w:rFonts w:asciiTheme="minorHAnsi" w:hAnsiTheme="minorHAnsi" w:cstheme="minorHAnsi"/>
        </w:rPr>
      </w:pPr>
      <w:r>
        <w:rPr>
          <w:rFonts w:asciiTheme="minorHAnsi" w:hAnsiTheme="minorHAnsi" w:cstheme="minorHAnsi"/>
        </w:rPr>
        <w:br w:type="page"/>
      </w:r>
    </w:p>
    <w:p w14:paraId="5BF3B96D" w14:textId="03AF7D3B" w:rsidR="008E29F0" w:rsidRPr="00382AF3" w:rsidRDefault="008E29F0" w:rsidP="008E29F0">
      <w:pPr>
        <w:spacing w:after="160" w:line="259" w:lineRule="auto"/>
        <w:rPr>
          <w:rFonts w:asciiTheme="minorHAnsi" w:hAnsiTheme="minorHAnsi" w:cstheme="minorHAnsi"/>
        </w:rPr>
      </w:pPr>
      <w:r w:rsidRPr="00382AF3">
        <w:rPr>
          <w:rFonts w:asciiTheme="minorHAnsi" w:hAnsiTheme="minorHAnsi" w:cstheme="minorHAnsi"/>
          <w:b/>
        </w:rPr>
        <w:lastRenderedPageBreak/>
        <w:t xml:space="preserve">HEAD </w:t>
      </w:r>
      <w:r w:rsidR="0098038F">
        <w:rPr>
          <w:rFonts w:asciiTheme="minorHAnsi" w:hAnsiTheme="minorHAnsi" w:cstheme="minorHAnsi"/>
          <w:b/>
        </w:rPr>
        <w:t>4</w:t>
      </w:r>
      <w:r w:rsidRPr="00382AF3">
        <w:rPr>
          <w:rFonts w:asciiTheme="minorHAnsi" w:hAnsiTheme="minorHAnsi" w:cstheme="minorHAnsi"/>
          <w:b/>
        </w:rPr>
        <w:t xml:space="preserve"> - Transfer of records, including specified database</w:t>
      </w:r>
      <w:r w:rsidR="0098038F">
        <w:rPr>
          <w:rFonts w:asciiTheme="minorHAnsi" w:hAnsiTheme="minorHAnsi" w:cstheme="minorHAnsi"/>
          <w:b/>
        </w:rPr>
        <w:t xml:space="preserve"> and specified records</w:t>
      </w:r>
      <w:r w:rsidRPr="00382AF3">
        <w:rPr>
          <w:rFonts w:asciiTheme="minorHAnsi" w:hAnsiTheme="minorHAnsi" w:cstheme="minorHAnsi"/>
          <w:b/>
        </w:rPr>
        <w:t>, from the Commission to be in complete and unredacted form</w:t>
      </w:r>
    </w:p>
    <w:p w14:paraId="4145879E" w14:textId="77777777" w:rsidR="008E29F0" w:rsidRPr="00382AF3" w:rsidRDefault="008E29F0" w:rsidP="008E29F0">
      <w:pPr>
        <w:autoSpaceDE w:val="0"/>
        <w:autoSpaceDN w:val="0"/>
        <w:adjustRightInd w:val="0"/>
        <w:spacing w:after="240" w:line="276" w:lineRule="auto"/>
        <w:rPr>
          <w:rFonts w:asciiTheme="minorHAnsi" w:hAnsiTheme="minorHAnsi" w:cs="Arial"/>
          <w:i/>
          <w:color w:val="000000"/>
        </w:rPr>
      </w:pPr>
    </w:p>
    <w:p w14:paraId="4BCAA1D1" w14:textId="75ECC71B" w:rsidR="008E29F0" w:rsidRPr="00382AF3" w:rsidRDefault="008E29F0" w:rsidP="008E29F0">
      <w:pPr>
        <w:autoSpaceDE w:val="0"/>
        <w:autoSpaceDN w:val="0"/>
        <w:adjustRightInd w:val="0"/>
        <w:spacing w:after="240" w:line="276" w:lineRule="auto"/>
        <w:rPr>
          <w:rFonts w:asciiTheme="minorHAnsi" w:hAnsiTheme="minorHAnsi" w:cs="Arial"/>
          <w:i/>
          <w:color w:val="000000"/>
        </w:rPr>
      </w:pPr>
      <w:r w:rsidRPr="00382AF3">
        <w:rPr>
          <w:rFonts w:asciiTheme="minorHAnsi" w:hAnsiTheme="minorHAnsi" w:cs="Arial"/>
          <w:i/>
          <w:color w:val="000000"/>
        </w:rPr>
        <w:t>Provide along the following lines:</w:t>
      </w:r>
    </w:p>
    <w:p w14:paraId="179F5C69" w14:textId="77777777" w:rsidR="00EE2F72" w:rsidRPr="00382AF3" w:rsidRDefault="00EE2F72" w:rsidP="008E29F0">
      <w:pPr>
        <w:autoSpaceDE w:val="0"/>
        <w:autoSpaceDN w:val="0"/>
        <w:adjustRightInd w:val="0"/>
        <w:spacing w:after="240" w:line="276" w:lineRule="auto"/>
        <w:rPr>
          <w:rFonts w:asciiTheme="minorHAnsi" w:hAnsiTheme="minorHAnsi" w:cs="Arial"/>
          <w:i/>
          <w:color w:val="000000"/>
        </w:rPr>
      </w:pPr>
    </w:p>
    <w:p w14:paraId="7471B989" w14:textId="330BA436" w:rsidR="008E29F0" w:rsidRPr="00382AF3" w:rsidRDefault="008E29F0" w:rsidP="0098038F">
      <w:pPr>
        <w:spacing w:after="160" w:line="259" w:lineRule="auto"/>
        <w:jc w:val="both"/>
        <w:rPr>
          <w:rFonts w:asciiTheme="minorHAnsi" w:hAnsiTheme="minorHAnsi" w:cstheme="minorHAnsi"/>
        </w:rPr>
      </w:pPr>
      <w:r w:rsidRPr="00382AF3">
        <w:rPr>
          <w:rFonts w:asciiTheme="minorHAnsi" w:hAnsiTheme="minorHAnsi" w:cstheme="minorHAnsi"/>
        </w:rPr>
        <w:t>The transfer by the Commission of the records to the Minister</w:t>
      </w:r>
      <w:r w:rsidR="00F07077" w:rsidRPr="00382AF3">
        <w:rPr>
          <w:rFonts w:asciiTheme="minorHAnsi" w:hAnsiTheme="minorHAnsi" w:cstheme="minorHAnsi"/>
        </w:rPr>
        <w:t xml:space="preserve"> [as per 43(2)]</w:t>
      </w:r>
      <w:r w:rsidRPr="00382AF3">
        <w:rPr>
          <w:rFonts w:asciiTheme="minorHAnsi" w:hAnsiTheme="minorHAnsi" w:cstheme="minorHAnsi"/>
        </w:rPr>
        <w:t xml:space="preserve">, and of the specified database and </w:t>
      </w:r>
      <w:r w:rsidR="0098038F">
        <w:rPr>
          <w:rFonts w:asciiTheme="minorHAnsi" w:hAnsiTheme="minorHAnsi" w:cstheme="minorHAnsi"/>
        </w:rPr>
        <w:t xml:space="preserve">specified </w:t>
      </w:r>
      <w:r w:rsidRPr="00382AF3">
        <w:rPr>
          <w:rFonts w:asciiTheme="minorHAnsi" w:hAnsiTheme="minorHAnsi" w:cstheme="minorHAnsi"/>
        </w:rPr>
        <w:t>records to TUSLA</w:t>
      </w:r>
      <w:r w:rsidR="00F07077" w:rsidRPr="00382AF3">
        <w:rPr>
          <w:rFonts w:asciiTheme="minorHAnsi" w:hAnsiTheme="minorHAnsi" w:cstheme="minorHAnsi"/>
        </w:rPr>
        <w:t>,</w:t>
      </w:r>
      <w:r w:rsidRPr="00382AF3">
        <w:rPr>
          <w:rFonts w:asciiTheme="minorHAnsi" w:hAnsiTheme="minorHAnsi" w:cstheme="minorHAnsi"/>
        </w:rPr>
        <w:t xml:space="preserve"> </w:t>
      </w:r>
      <w:r w:rsidR="00F07077" w:rsidRPr="00382AF3">
        <w:rPr>
          <w:rFonts w:asciiTheme="minorHAnsi" w:hAnsiTheme="minorHAnsi" w:cstheme="minorHAnsi"/>
        </w:rPr>
        <w:t xml:space="preserve">to </w:t>
      </w:r>
      <w:r w:rsidRPr="00382AF3">
        <w:rPr>
          <w:rFonts w:asciiTheme="minorHAnsi" w:hAnsiTheme="minorHAnsi" w:cstheme="minorHAnsi"/>
        </w:rPr>
        <w:t>be undertaken in their complete and unredacted form, preserving such records in their existing state</w:t>
      </w:r>
      <w:r w:rsidR="00F07077" w:rsidRPr="00382AF3">
        <w:rPr>
          <w:rFonts w:asciiTheme="minorHAnsi" w:hAnsiTheme="minorHAnsi" w:cstheme="minorHAnsi"/>
        </w:rPr>
        <w:t xml:space="preserve"> that being the forma</w:t>
      </w:r>
      <w:r w:rsidR="0098038F">
        <w:rPr>
          <w:rFonts w:asciiTheme="minorHAnsi" w:hAnsiTheme="minorHAnsi" w:cstheme="minorHAnsi"/>
        </w:rPr>
        <w:t>t as provided to the Commission</w:t>
      </w:r>
      <w:r w:rsidRPr="00382AF3">
        <w:rPr>
          <w:rFonts w:asciiTheme="minorHAnsi" w:hAnsiTheme="minorHAnsi" w:cstheme="minorHAnsi"/>
        </w:rPr>
        <w:t>.</w:t>
      </w:r>
    </w:p>
    <w:p w14:paraId="70F46749" w14:textId="0FE428EE" w:rsidR="000C2D65" w:rsidRPr="00382AF3" w:rsidRDefault="000C2D65" w:rsidP="0098038F">
      <w:pPr>
        <w:spacing w:after="160" w:line="259" w:lineRule="auto"/>
        <w:jc w:val="both"/>
        <w:rPr>
          <w:rFonts w:asciiTheme="minorHAnsi" w:hAnsiTheme="minorHAnsi" w:cstheme="minorHAnsi"/>
        </w:rPr>
      </w:pPr>
    </w:p>
    <w:p w14:paraId="3F02EABC" w14:textId="62C8CE48" w:rsidR="000C2D65" w:rsidRPr="00382AF3" w:rsidRDefault="000C2D65" w:rsidP="0098038F">
      <w:pPr>
        <w:spacing w:after="160" w:line="259" w:lineRule="auto"/>
        <w:jc w:val="both"/>
        <w:rPr>
          <w:rFonts w:asciiTheme="minorHAnsi" w:hAnsiTheme="minorHAnsi" w:cstheme="minorHAnsi"/>
          <w:b/>
        </w:rPr>
      </w:pPr>
      <w:r w:rsidRPr="00382AF3">
        <w:rPr>
          <w:rFonts w:asciiTheme="minorHAnsi" w:hAnsiTheme="minorHAnsi" w:cstheme="minorHAnsi"/>
          <w:b/>
        </w:rPr>
        <w:t xml:space="preserve">Explanatory Note: </w:t>
      </w:r>
    </w:p>
    <w:p w14:paraId="4C9E8ED3" w14:textId="38D175B9" w:rsidR="000C2D65" w:rsidRPr="00382AF3" w:rsidRDefault="00940C1D" w:rsidP="0098038F">
      <w:pPr>
        <w:spacing w:after="160" w:line="259" w:lineRule="auto"/>
        <w:jc w:val="both"/>
        <w:rPr>
          <w:rFonts w:asciiTheme="minorHAnsi" w:hAnsiTheme="minorHAnsi" w:cstheme="minorHAnsi"/>
        </w:rPr>
      </w:pPr>
      <w:r w:rsidRPr="00382AF3">
        <w:rPr>
          <w:rFonts w:asciiTheme="minorHAnsi" w:hAnsiTheme="minorHAnsi" w:cstheme="minorHAnsi"/>
        </w:rPr>
        <w:t>For the avoidance of any uncertainty on the application of existing statute, t</w:t>
      </w:r>
      <w:r w:rsidR="000C2D65" w:rsidRPr="00382AF3">
        <w:rPr>
          <w:rFonts w:asciiTheme="minorHAnsi" w:hAnsiTheme="minorHAnsi" w:cstheme="minorHAnsi"/>
        </w:rPr>
        <w:t xml:space="preserve">his Head is designed to </w:t>
      </w:r>
      <w:r w:rsidRPr="00382AF3">
        <w:rPr>
          <w:rFonts w:asciiTheme="minorHAnsi" w:hAnsiTheme="minorHAnsi" w:cstheme="minorHAnsi"/>
        </w:rPr>
        <w:t>ensure that unredacted and complete records are transferred</w:t>
      </w:r>
      <w:r w:rsidR="000C2D65" w:rsidRPr="00382AF3">
        <w:rPr>
          <w:rFonts w:asciiTheme="minorHAnsi" w:hAnsiTheme="minorHAnsi" w:cstheme="minorHAnsi"/>
        </w:rPr>
        <w:t xml:space="preserve"> </w:t>
      </w:r>
      <w:r w:rsidRPr="00382AF3">
        <w:rPr>
          <w:rFonts w:asciiTheme="minorHAnsi" w:hAnsiTheme="minorHAnsi" w:cstheme="minorHAnsi"/>
        </w:rPr>
        <w:t>by the Commission to the Minister and to Tusla respectively</w:t>
      </w:r>
      <w:r w:rsidR="00936DAB" w:rsidRPr="00382AF3">
        <w:rPr>
          <w:rFonts w:asciiTheme="minorHAnsi" w:hAnsiTheme="minorHAnsi" w:cstheme="minorHAnsi"/>
        </w:rPr>
        <w:t xml:space="preserve">.  </w:t>
      </w:r>
    </w:p>
    <w:p w14:paraId="49E7B135" w14:textId="77777777" w:rsidR="008E29F0" w:rsidRPr="00382AF3" w:rsidRDefault="008E29F0" w:rsidP="008E29F0">
      <w:pPr>
        <w:spacing w:after="160" w:line="259" w:lineRule="auto"/>
        <w:rPr>
          <w:rFonts w:asciiTheme="minorHAnsi" w:hAnsiTheme="minorHAnsi" w:cstheme="minorHAnsi"/>
        </w:rPr>
      </w:pPr>
    </w:p>
    <w:p w14:paraId="69996F86" w14:textId="7E63EB11" w:rsidR="008E29F0" w:rsidRPr="00382AF3" w:rsidRDefault="008E29F0" w:rsidP="008E29F0">
      <w:pPr>
        <w:spacing w:line="480" w:lineRule="auto"/>
        <w:rPr>
          <w:rFonts w:asciiTheme="minorHAnsi" w:hAnsiTheme="minorHAnsi"/>
        </w:rPr>
      </w:pPr>
    </w:p>
    <w:p w14:paraId="49571ABE" w14:textId="06FF29F1" w:rsidR="00D90E2C" w:rsidRPr="00382AF3" w:rsidRDefault="00D90E2C" w:rsidP="00D90E2C">
      <w:pPr>
        <w:spacing w:after="240" w:line="360" w:lineRule="auto"/>
        <w:contextualSpacing/>
        <w:rPr>
          <w:rFonts w:asciiTheme="minorHAnsi" w:hAnsiTheme="minorHAnsi" w:cstheme="minorHAnsi"/>
        </w:rPr>
      </w:pPr>
    </w:p>
    <w:p w14:paraId="53D8F36A" w14:textId="77777777" w:rsidR="00D46D4C" w:rsidRPr="00382AF3" w:rsidRDefault="00D46D4C" w:rsidP="009E5305">
      <w:pPr>
        <w:spacing w:after="240" w:line="360" w:lineRule="auto"/>
        <w:contextualSpacing/>
        <w:rPr>
          <w:rFonts w:asciiTheme="minorHAnsi" w:hAnsiTheme="minorHAnsi" w:cstheme="minorHAnsi"/>
          <w:color w:val="2E74B5" w:themeColor="accent1" w:themeShade="BF"/>
        </w:rPr>
      </w:pPr>
    </w:p>
    <w:p w14:paraId="09810FB2" w14:textId="6828FC4A" w:rsidR="00940D79" w:rsidRDefault="00940D79" w:rsidP="00700BD1">
      <w:pPr>
        <w:spacing w:after="240" w:line="360" w:lineRule="auto"/>
        <w:contextualSpacing/>
      </w:pPr>
      <w:r>
        <w:br w:type="page"/>
      </w:r>
    </w:p>
    <w:p w14:paraId="75C1D0C0" w14:textId="37113C95" w:rsidR="007E7A94" w:rsidRPr="003642A9" w:rsidRDefault="007E7A94" w:rsidP="007E7A94">
      <w:pPr>
        <w:spacing w:after="240" w:line="360" w:lineRule="auto"/>
        <w:contextualSpacing/>
        <w:rPr>
          <w:rFonts w:asciiTheme="minorHAnsi" w:hAnsiTheme="minorHAnsi"/>
          <w:b/>
        </w:rPr>
      </w:pPr>
      <w:r w:rsidRPr="003642A9">
        <w:rPr>
          <w:rFonts w:asciiTheme="minorHAnsi" w:hAnsiTheme="minorHAnsi"/>
          <w:b/>
        </w:rPr>
        <w:lastRenderedPageBreak/>
        <w:t xml:space="preserve">HEAD </w:t>
      </w:r>
      <w:r w:rsidR="0098038F">
        <w:rPr>
          <w:rFonts w:asciiTheme="minorHAnsi" w:hAnsiTheme="minorHAnsi"/>
          <w:b/>
        </w:rPr>
        <w:t>5- Access to records</w:t>
      </w:r>
    </w:p>
    <w:p w14:paraId="27725D72" w14:textId="77777777" w:rsidR="007E7A94" w:rsidRPr="003642A9" w:rsidRDefault="007E7A94" w:rsidP="007E7A94">
      <w:pPr>
        <w:spacing w:after="240" w:line="360" w:lineRule="auto"/>
        <w:contextualSpacing/>
        <w:rPr>
          <w:rFonts w:asciiTheme="minorHAnsi" w:hAnsiTheme="minorHAnsi"/>
        </w:rPr>
      </w:pPr>
    </w:p>
    <w:p w14:paraId="2545C46D" w14:textId="77777777" w:rsidR="007E7A94" w:rsidRPr="00382AF3" w:rsidRDefault="007E7A94" w:rsidP="007E7A94">
      <w:pPr>
        <w:spacing w:after="240" w:line="360" w:lineRule="auto"/>
        <w:contextualSpacing/>
        <w:rPr>
          <w:rFonts w:asciiTheme="minorHAnsi" w:hAnsiTheme="minorHAnsi"/>
          <w:i/>
        </w:rPr>
      </w:pPr>
      <w:r w:rsidRPr="00382AF3">
        <w:rPr>
          <w:rFonts w:asciiTheme="minorHAnsi" w:hAnsiTheme="minorHAnsi"/>
          <w:i/>
        </w:rPr>
        <w:t>Provide along the following lines:</w:t>
      </w:r>
    </w:p>
    <w:p w14:paraId="46E562A2" w14:textId="77777777" w:rsidR="007E7A94" w:rsidRPr="003642A9" w:rsidRDefault="007E7A94" w:rsidP="007E7A94">
      <w:pPr>
        <w:spacing w:after="240" w:line="360" w:lineRule="auto"/>
        <w:contextualSpacing/>
        <w:rPr>
          <w:rFonts w:asciiTheme="minorHAnsi" w:hAnsiTheme="minorHAnsi"/>
        </w:rPr>
      </w:pPr>
    </w:p>
    <w:p w14:paraId="373B63D9" w14:textId="5A9AD146" w:rsidR="007E7A94" w:rsidRPr="003642A9" w:rsidRDefault="0098038F" w:rsidP="0098038F">
      <w:pPr>
        <w:spacing w:after="240" w:line="360" w:lineRule="auto"/>
        <w:contextualSpacing/>
        <w:jc w:val="both"/>
        <w:rPr>
          <w:rFonts w:asciiTheme="minorHAnsi" w:hAnsiTheme="minorHAnsi"/>
        </w:rPr>
      </w:pPr>
      <w:r>
        <w:rPr>
          <w:rFonts w:asciiTheme="minorHAnsi" w:hAnsiTheme="minorHAnsi"/>
        </w:rPr>
        <w:t>Access to</w:t>
      </w:r>
      <w:r w:rsidR="007E7A94" w:rsidRPr="003642A9">
        <w:rPr>
          <w:rFonts w:asciiTheme="minorHAnsi" w:hAnsiTheme="minorHAnsi"/>
        </w:rPr>
        <w:t xml:space="preserve"> </w:t>
      </w:r>
      <w:r>
        <w:rPr>
          <w:rFonts w:asciiTheme="minorHAnsi" w:hAnsiTheme="minorHAnsi"/>
        </w:rPr>
        <w:t xml:space="preserve">specified </w:t>
      </w:r>
      <w:r w:rsidR="007E7A94" w:rsidRPr="003642A9">
        <w:rPr>
          <w:rFonts w:asciiTheme="minorHAnsi" w:hAnsiTheme="minorHAnsi"/>
        </w:rPr>
        <w:t>records and the specified database transferred (under Head 2) shall be granted only in so far as required to enable</w:t>
      </w:r>
      <w:r w:rsidR="003642A9" w:rsidRPr="003642A9">
        <w:rPr>
          <w:rFonts w:asciiTheme="minorHAnsi" w:hAnsiTheme="minorHAnsi"/>
        </w:rPr>
        <w:t xml:space="preserve"> the Child and Family Agency</w:t>
      </w:r>
      <w:r w:rsidR="007E7A94" w:rsidRPr="003642A9">
        <w:rPr>
          <w:rFonts w:asciiTheme="minorHAnsi" w:hAnsiTheme="minorHAnsi"/>
        </w:rPr>
        <w:t xml:space="preserve"> to:</w:t>
      </w:r>
    </w:p>
    <w:p w14:paraId="48678381" w14:textId="77777777" w:rsidR="007E7A94" w:rsidRPr="003642A9" w:rsidRDefault="007E7A94" w:rsidP="0098038F">
      <w:pPr>
        <w:spacing w:after="240" w:line="360" w:lineRule="auto"/>
        <w:contextualSpacing/>
        <w:jc w:val="both"/>
        <w:rPr>
          <w:rFonts w:asciiTheme="minorHAnsi" w:hAnsiTheme="minorHAnsi"/>
        </w:rPr>
      </w:pPr>
    </w:p>
    <w:p w14:paraId="641DA81A" w14:textId="3B949432" w:rsidR="007E7A94" w:rsidRPr="003642A9" w:rsidRDefault="007E7A94" w:rsidP="0098038F">
      <w:pPr>
        <w:pStyle w:val="ListParagraph"/>
        <w:numPr>
          <w:ilvl w:val="0"/>
          <w:numId w:val="1"/>
        </w:numPr>
        <w:spacing w:after="240" w:line="360" w:lineRule="auto"/>
        <w:jc w:val="both"/>
        <w:rPr>
          <w:rFonts w:asciiTheme="minorHAnsi" w:hAnsiTheme="minorHAnsi"/>
        </w:rPr>
      </w:pPr>
      <w:r w:rsidRPr="003642A9">
        <w:rPr>
          <w:rFonts w:asciiTheme="minorHAnsi" w:hAnsiTheme="minorHAnsi"/>
        </w:rPr>
        <w:t>discharge its statutory functions in relation to adoption activities as contained in Child and Family Agency Act 2013 - and s.4 (k)(i) of the Adoption Act 2010 as amended by Schedule 2 Part 21 of Child and Family Agency Act 2013;</w:t>
      </w:r>
    </w:p>
    <w:p w14:paraId="124771EA" w14:textId="124DE566" w:rsidR="007E7A94" w:rsidRPr="003642A9" w:rsidRDefault="007E7A94" w:rsidP="0098038F">
      <w:pPr>
        <w:pStyle w:val="ListParagraph"/>
        <w:numPr>
          <w:ilvl w:val="0"/>
          <w:numId w:val="1"/>
        </w:numPr>
        <w:spacing w:after="240" w:line="360" w:lineRule="auto"/>
        <w:jc w:val="both"/>
        <w:rPr>
          <w:rFonts w:asciiTheme="minorHAnsi" w:hAnsiTheme="minorHAnsi"/>
        </w:rPr>
      </w:pPr>
      <w:r w:rsidRPr="003642A9">
        <w:rPr>
          <w:rFonts w:asciiTheme="minorHAnsi" w:hAnsiTheme="minorHAnsi"/>
        </w:rPr>
        <w:t xml:space="preserve">discharge its obligations under </w:t>
      </w:r>
      <w:r w:rsidR="001D525D" w:rsidRPr="003642A9">
        <w:rPr>
          <w:rFonts w:asciiTheme="minorHAnsi" w:hAnsiTheme="minorHAnsi"/>
        </w:rPr>
        <w:t xml:space="preserve">Freedom of Information Acts, </w:t>
      </w:r>
      <w:r w:rsidRPr="003642A9">
        <w:rPr>
          <w:rFonts w:asciiTheme="minorHAnsi" w:hAnsiTheme="minorHAnsi"/>
        </w:rPr>
        <w:t>GDPR and the Data Protection Acts.</w:t>
      </w:r>
    </w:p>
    <w:p w14:paraId="634AF99C" w14:textId="4E56B25C" w:rsidR="007E7A94" w:rsidRPr="003642A9" w:rsidRDefault="007E7A94" w:rsidP="0098038F">
      <w:pPr>
        <w:spacing w:after="240" w:line="360" w:lineRule="auto"/>
        <w:contextualSpacing/>
        <w:jc w:val="both"/>
        <w:rPr>
          <w:rFonts w:asciiTheme="minorHAnsi" w:hAnsiTheme="minorHAnsi"/>
        </w:rPr>
      </w:pPr>
    </w:p>
    <w:p w14:paraId="6F054158" w14:textId="4E0605F9" w:rsidR="007E7A94" w:rsidRPr="003642A9" w:rsidRDefault="007E7A94" w:rsidP="0098038F">
      <w:pPr>
        <w:spacing w:after="240" w:line="360" w:lineRule="auto"/>
        <w:contextualSpacing/>
        <w:jc w:val="both"/>
        <w:rPr>
          <w:rFonts w:asciiTheme="minorHAnsi" w:hAnsiTheme="minorHAnsi"/>
          <w:b/>
        </w:rPr>
      </w:pPr>
      <w:r w:rsidRPr="003642A9">
        <w:rPr>
          <w:rFonts w:asciiTheme="minorHAnsi" w:hAnsiTheme="minorHAnsi"/>
          <w:b/>
        </w:rPr>
        <w:t xml:space="preserve">Explanatory Note: </w:t>
      </w:r>
    </w:p>
    <w:p w14:paraId="6070F1BD" w14:textId="77777777" w:rsidR="007E7A94" w:rsidRPr="00B239BD" w:rsidRDefault="007E7A94" w:rsidP="0098038F">
      <w:pPr>
        <w:spacing w:after="240" w:line="360" w:lineRule="auto"/>
        <w:contextualSpacing/>
        <w:jc w:val="both"/>
        <w:rPr>
          <w:rFonts w:asciiTheme="minorHAnsi" w:hAnsiTheme="minorHAnsi"/>
        </w:rPr>
      </w:pPr>
    </w:p>
    <w:p w14:paraId="58200A0E" w14:textId="65027454" w:rsidR="007E7A94" w:rsidRPr="00B239BD" w:rsidRDefault="007E7A94" w:rsidP="0098038F">
      <w:pPr>
        <w:spacing w:after="240" w:line="360" w:lineRule="auto"/>
        <w:contextualSpacing/>
        <w:jc w:val="both"/>
        <w:rPr>
          <w:rFonts w:asciiTheme="minorHAnsi" w:hAnsiTheme="minorHAnsi"/>
        </w:rPr>
      </w:pPr>
      <w:r w:rsidRPr="00B239BD">
        <w:rPr>
          <w:rFonts w:asciiTheme="minorHAnsi" w:hAnsiTheme="minorHAnsi"/>
        </w:rPr>
        <w:t xml:space="preserve">This Head is designed to ensure that Tusla has an appropriate statutory basis for </w:t>
      </w:r>
      <w:r w:rsidR="003642A9" w:rsidRPr="00B239BD">
        <w:rPr>
          <w:rFonts w:asciiTheme="minorHAnsi" w:hAnsiTheme="minorHAnsi"/>
        </w:rPr>
        <w:t>safekeeping</w:t>
      </w:r>
      <w:r w:rsidRPr="00B239BD">
        <w:rPr>
          <w:rFonts w:asciiTheme="minorHAnsi" w:hAnsiTheme="minorHAnsi"/>
        </w:rPr>
        <w:t xml:space="preserve"> of the </w:t>
      </w:r>
      <w:r w:rsidR="0098038F">
        <w:rPr>
          <w:rFonts w:asciiTheme="minorHAnsi" w:hAnsiTheme="minorHAnsi"/>
        </w:rPr>
        <w:t xml:space="preserve">specified </w:t>
      </w:r>
      <w:r w:rsidRPr="00B239BD">
        <w:rPr>
          <w:rFonts w:asciiTheme="minorHAnsi" w:hAnsiTheme="minorHAnsi"/>
        </w:rPr>
        <w:t xml:space="preserve">database and </w:t>
      </w:r>
      <w:r w:rsidR="0098038F">
        <w:rPr>
          <w:rFonts w:asciiTheme="minorHAnsi" w:hAnsiTheme="minorHAnsi"/>
        </w:rPr>
        <w:t xml:space="preserve">specified </w:t>
      </w:r>
      <w:r w:rsidRPr="00B239BD">
        <w:rPr>
          <w:rFonts w:asciiTheme="minorHAnsi" w:hAnsiTheme="minorHAnsi"/>
        </w:rPr>
        <w:t xml:space="preserve">records and </w:t>
      </w:r>
      <w:r w:rsidR="003642A9" w:rsidRPr="00B239BD">
        <w:rPr>
          <w:rFonts w:asciiTheme="minorHAnsi" w:hAnsiTheme="minorHAnsi"/>
        </w:rPr>
        <w:t>their use in accordance with</w:t>
      </w:r>
      <w:r w:rsidRPr="00B239BD">
        <w:rPr>
          <w:rFonts w:asciiTheme="minorHAnsi" w:hAnsiTheme="minorHAnsi"/>
        </w:rPr>
        <w:t xml:space="preserve"> its </w:t>
      </w:r>
      <w:r w:rsidR="003642A9" w:rsidRPr="00B239BD">
        <w:rPr>
          <w:rFonts w:asciiTheme="minorHAnsi" w:hAnsiTheme="minorHAnsi"/>
        </w:rPr>
        <w:t xml:space="preserve">statutory </w:t>
      </w:r>
      <w:r w:rsidRPr="00B239BD">
        <w:rPr>
          <w:rFonts w:asciiTheme="minorHAnsi" w:hAnsiTheme="minorHAnsi"/>
        </w:rPr>
        <w:t>functions</w:t>
      </w:r>
      <w:r w:rsidR="00B1549D">
        <w:rPr>
          <w:rFonts w:asciiTheme="minorHAnsi" w:hAnsiTheme="minorHAnsi"/>
        </w:rPr>
        <w:t>, including</w:t>
      </w:r>
      <w:r w:rsidRPr="00B239BD">
        <w:rPr>
          <w:rFonts w:asciiTheme="minorHAnsi" w:hAnsiTheme="minorHAnsi"/>
        </w:rPr>
        <w:t xml:space="preserve"> as a data controller in respect of these records. </w:t>
      </w:r>
      <w:r w:rsidR="001D525D" w:rsidRPr="00B239BD">
        <w:rPr>
          <w:rFonts w:asciiTheme="minorHAnsi" w:hAnsiTheme="minorHAnsi"/>
        </w:rPr>
        <w:t>No enhanced or new right to access is proposed.</w:t>
      </w:r>
    </w:p>
    <w:p w14:paraId="2602A669" w14:textId="77777777" w:rsidR="00B1549D" w:rsidRDefault="00B1549D" w:rsidP="00B1549D">
      <w:pPr>
        <w:spacing w:after="240" w:line="360" w:lineRule="auto"/>
        <w:contextualSpacing/>
        <w:jc w:val="both"/>
        <w:rPr>
          <w:rFonts w:asciiTheme="minorHAnsi" w:hAnsiTheme="minorHAnsi" w:cstheme="minorHAnsi"/>
        </w:rPr>
      </w:pPr>
    </w:p>
    <w:p w14:paraId="567B7706" w14:textId="1FC8AD62" w:rsidR="00B1549D" w:rsidRDefault="00B1549D" w:rsidP="00B1549D">
      <w:pPr>
        <w:spacing w:after="240" w:line="360" w:lineRule="auto"/>
        <w:contextualSpacing/>
        <w:jc w:val="both"/>
        <w:rPr>
          <w:rFonts w:asciiTheme="minorHAnsi" w:hAnsiTheme="minorHAnsi" w:cstheme="minorHAnsi"/>
        </w:rPr>
      </w:pPr>
      <w:r>
        <w:rPr>
          <w:rFonts w:asciiTheme="minorHAnsi" w:hAnsiTheme="minorHAnsi" w:cstheme="minorHAnsi"/>
        </w:rPr>
        <w:t>U</w:t>
      </w:r>
      <w:r w:rsidRPr="00507109">
        <w:rPr>
          <w:rFonts w:asciiTheme="minorHAnsi" w:hAnsiTheme="minorHAnsi" w:cstheme="minorHAnsi"/>
        </w:rPr>
        <w:t xml:space="preserve">nrestricted use or open public access is not being proposed.  Access to personal information held in these records would continue to be regulated by the Adoption Act 2010; Freedom of Information Acts; GDPR and Data Protection Act, </w:t>
      </w:r>
      <w:r>
        <w:rPr>
          <w:rFonts w:asciiTheme="minorHAnsi" w:hAnsiTheme="minorHAnsi" w:cstheme="minorHAnsi"/>
        </w:rPr>
        <w:t xml:space="preserve">pending the development of future statutory information and tracing service. </w:t>
      </w:r>
    </w:p>
    <w:p w14:paraId="1E3818C9" w14:textId="691BA278" w:rsidR="00832858" w:rsidRPr="00B239BD" w:rsidRDefault="00832858" w:rsidP="00B1549D">
      <w:pPr>
        <w:spacing w:after="240" w:line="360" w:lineRule="auto"/>
        <w:contextualSpacing/>
        <w:jc w:val="both"/>
        <w:rPr>
          <w:rFonts w:asciiTheme="minorHAnsi" w:hAnsiTheme="minorHAnsi"/>
        </w:rPr>
      </w:pPr>
    </w:p>
    <w:p w14:paraId="6EC14788" w14:textId="77777777" w:rsidR="007E7A94" w:rsidRPr="00B239BD" w:rsidRDefault="007E7A94" w:rsidP="00B239BD">
      <w:pPr>
        <w:spacing w:after="240" w:line="360" w:lineRule="auto"/>
        <w:contextualSpacing/>
        <w:rPr>
          <w:rFonts w:asciiTheme="minorHAnsi" w:hAnsiTheme="minorHAnsi"/>
        </w:rPr>
      </w:pPr>
    </w:p>
    <w:p w14:paraId="0817384C" w14:textId="77777777" w:rsidR="00D2719D" w:rsidRDefault="00D2719D">
      <w:pPr>
        <w:spacing w:after="160" w:line="259" w:lineRule="auto"/>
        <w:rPr>
          <w:rFonts w:asciiTheme="minorHAnsi" w:hAnsiTheme="minorHAnsi"/>
          <w:b/>
        </w:rPr>
      </w:pPr>
      <w:r>
        <w:rPr>
          <w:rFonts w:asciiTheme="minorHAnsi" w:hAnsiTheme="minorHAnsi"/>
          <w:b/>
        </w:rPr>
        <w:br w:type="page"/>
      </w:r>
    </w:p>
    <w:p w14:paraId="32EBE4B6" w14:textId="72C198FE" w:rsidR="00181743" w:rsidRPr="00E00DE9" w:rsidRDefault="00E00DE9" w:rsidP="00B239BD">
      <w:pPr>
        <w:spacing w:after="240" w:line="360" w:lineRule="auto"/>
        <w:contextualSpacing/>
        <w:rPr>
          <w:rFonts w:asciiTheme="minorHAnsi" w:hAnsiTheme="minorHAnsi"/>
          <w:b/>
        </w:rPr>
      </w:pPr>
      <w:r w:rsidRPr="00E00DE9">
        <w:rPr>
          <w:rFonts w:asciiTheme="minorHAnsi" w:hAnsiTheme="minorHAnsi"/>
          <w:b/>
        </w:rPr>
        <w:lastRenderedPageBreak/>
        <w:t>Head 6</w:t>
      </w:r>
      <w:r w:rsidR="00382AF3" w:rsidRPr="00E00DE9">
        <w:rPr>
          <w:rFonts w:asciiTheme="minorHAnsi" w:hAnsiTheme="minorHAnsi"/>
          <w:b/>
        </w:rPr>
        <w:t xml:space="preserve"> – Expenses</w:t>
      </w:r>
    </w:p>
    <w:p w14:paraId="6714AC69" w14:textId="0AFB4B17" w:rsidR="00382AF3" w:rsidRPr="00E00DE9" w:rsidRDefault="00382AF3" w:rsidP="00B239BD">
      <w:pPr>
        <w:spacing w:after="240" w:line="360" w:lineRule="auto"/>
        <w:contextualSpacing/>
        <w:rPr>
          <w:rFonts w:asciiTheme="minorHAnsi" w:hAnsiTheme="minorHAnsi"/>
        </w:rPr>
      </w:pPr>
    </w:p>
    <w:p w14:paraId="121B2E62" w14:textId="77777777" w:rsidR="00E00DE9" w:rsidRPr="00E00DE9" w:rsidRDefault="00E00DE9" w:rsidP="00E00DE9">
      <w:pPr>
        <w:spacing w:after="240" w:line="360" w:lineRule="auto"/>
        <w:contextualSpacing/>
        <w:rPr>
          <w:rFonts w:asciiTheme="minorHAnsi" w:hAnsiTheme="minorHAnsi"/>
          <w:i/>
        </w:rPr>
      </w:pPr>
      <w:r w:rsidRPr="00E00DE9">
        <w:rPr>
          <w:rFonts w:asciiTheme="minorHAnsi" w:hAnsiTheme="minorHAnsi"/>
          <w:i/>
        </w:rPr>
        <w:t>Provide along the following lines:</w:t>
      </w:r>
    </w:p>
    <w:p w14:paraId="657C7251" w14:textId="5C966678" w:rsidR="00382AF3" w:rsidRDefault="00382AF3" w:rsidP="00B239BD">
      <w:pPr>
        <w:spacing w:after="240" w:line="360" w:lineRule="auto"/>
        <w:contextualSpacing/>
        <w:rPr>
          <w:rFonts w:asciiTheme="minorHAnsi" w:hAnsiTheme="minorHAnsi"/>
        </w:rPr>
      </w:pPr>
    </w:p>
    <w:p w14:paraId="2D2D95CE" w14:textId="250E5545" w:rsidR="00E00DE9" w:rsidRPr="00E00DE9" w:rsidRDefault="00E00DE9" w:rsidP="00C35D83">
      <w:pPr>
        <w:spacing w:after="240" w:line="360" w:lineRule="auto"/>
        <w:contextualSpacing/>
        <w:jc w:val="both"/>
        <w:rPr>
          <w:rFonts w:asciiTheme="minorHAnsi" w:hAnsiTheme="minorHAnsi"/>
        </w:rPr>
      </w:pPr>
      <w:r>
        <w:rPr>
          <w:rFonts w:asciiTheme="minorHAnsi" w:hAnsiTheme="minorHAnsi"/>
        </w:rPr>
        <w:t xml:space="preserve">To provide that the </w:t>
      </w:r>
      <w:r w:rsidR="00A36259" w:rsidRPr="00A36259">
        <w:rPr>
          <w:rFonts w:asciiTheme="minorHAnsi" w:hAnsiTheme="minorHAnsi"/>
        </w:rPr>
        <w:t xml:space="preserve">any expenses incurred by </w:t>
      </w:r>
      <w:r w:rsidR="00C35D83">
        <w:rPr>
          <w:rFonts w:asciiTheme="minorHAnsi" w:hAnsiTheme="minorHAnsi"/>
        </w:rPr>
        <w:t>the Minister</w:t>
      </w:r>
      <w:r w:rsidR="00A36259">
        <w:rPr>
          <w:rFonts w:asciiTheme="minorHAnsi" w:hAnsiTheme="minorHAnsi"/>
        </w:rPr>
        <w:t xml:space="preserve"> in the administration </w:t>
      </w:r>
      <w:r w:rsidR="00A36259" w:rsidRPr="00A36259">
        <w:rPr>
          <w:rFonts w:asciiTheme="minorHAnsi" w:hAnsiTheme="minorHAnsi"/>
        </w:rPr>
        <w:t>of this Act</w:t>
      </w:r>
      <w:r w:rsidR="00A36259">
        <w:rPr>
          <w:rFonts w:asciiTheme="minorHAnsi" w:hAnsiTheme="minorHAnsi"/>
        </w:rPr>
        <w:t xml:space="preserve">, </w:t>
      </w:r>
      <w:r w:rsidR="00A36259" w:rsidRPr="00A36259">
        <w:rPr>
          <w:rFonts w:asciiTheme="minorHAnsi" w:hAnsiTheme="minorHAnsi"/>
        </w:rPr>
        <w:t xml:space="preserve"> </w:t>
      </w:r>
      <w:r w:rsidR="00A36259">
        <w:rPr>
          <w:rFonts w:asciiTheme="minorHAnsi" w:hAnsiTheme="minorHAnsi"/>
        </w:rPr>
        <w:t>and</w:t>
      </w:r>
      <w:r w:rsidR="00A36259" w:rsidRPr="00A36259">
        <w:rPr>
          <w:rFonts w:asciiTheme="minorHAnsi" w:hAnsiTheme="minorHAnsi"/>
        </w:rPr>
        <w:t xml:space="preserve"> the expenses incurred by </w:t>
      </w:r>
      <w:r w:rsidR="00C35D83">
        <w:rPr>
          <w:rFonts w:asciiTheme="minorHAnsi" w:hAnsiTheme="minorHAnsi"/>
        </w:rPr>
        <w:t>Tusla</w:t>
      </w:r>
      <w:r w:rsidR="00A36259" w:rsidRPr="00A36259">
        <w:rPr>
          <w:rFonts w:asciiTheme="minorHAnsi" w:hAnsiTheme="minorHAnsi"/>
        </w:rPr>
        <w:t xml:space="preserve"> shall, to such ext</w:t>
      </w:r>
      <w:r w:rsidR="00A36259">
        <w:rPr>
          <w:rFonts w:asciiTheme="minorHAnsi" w:hAnsiTheme="minorHAnsi"/>
        </w:rPr>
        <w:t xml:space="preserve">ent as may be sanctioned by the </w:t>
      </w:r>
      <w:r w:rsidR="00A36259" w:rsidRPr="00A36259">
        <w:rPr>
          <w:rFonts w:asciiTheme="minorHAnsi" w:hAnsiTheme="minorHAnsi"/>
        </w:rPr>
        <w:t xml:space="preserve">Minister for </w:t>
      </w:r>
      <w:r w:rsidR="00A36259">
        <w:rPr>
          <w:rFonts w:asciiTheme="minorHAnsi" w:hAnsiTheme="minorHAnsi"/>
        </w:rPr>
        <w:t>Public Expenditure and Reform</w:t>
      </w:r>
      <w:r w:rsidR="00A36259" w:rsidRPr="00A36259">
        <w:rPr>
          <w:rFonts w:asciiTheme="minorHAnsi" w:hAnsiTheme="minorHAnsi"/>
        </w:rPr>
        <w:t>, be pa</w:t>
      </w:r>
      <w:r w:rsidR="00A36259">
        <w:rPr>
          <w:rFonts w:asciiTheme="minorHAnsi" w:hAnsiTheme="minorHAnsi"/>
        </w:rPr>
        <w:t xml:space="preserve">id out of money provided by the </w:t>
      </w:r>
      <w:r w:rsidR="00A36259" w:rsidRPr="00A36259">
        <w:rPr>
          <w:rFonts w:asciiTheme="minorHAnsi" w:hAnsiTheme="minorHAnsi"/>
        </w:rPr>
        <w:t>Oireachtas.</w:t>
      </w:r>
    </w:p>
    <w:p w14:paraId="53725D0D" w14:textId="0F3506FA" w:rsidR="00382AF3" w:rsidRDefault="00382AF3" w:rsidP="00C35D83">
      <w:pPr>
        <w:spacing w:after="240" w:line="360" w:lineRule="auto"/>
        <w:contextualSpacing/>
        <w:jc w:val="both"/>
        <w:rPr>
          <w:rFonts w:asciiTheme="minorHAnsi" w:hAnsiTheme="minorHAnsi"/>
          <w:b/>
        </w:rPr>
      </w:pPr>
    </w:p>
    <w:p w14:paraId="00595D3F" w14:textId="6A059816" w:rsidR="003F70CC" w:rsidRDefault="003F70CC" w:rsidP="00C35D83">
      <w:pPr>
        <w:spacing w:after="240" w:line="360" w:lineRule="auto"/>
        <w:contextualSpacing/>
        <w:jc w:val="both"/>
        <w:rPr>
          <w:rFonts w:asciiTheme="minorHAnsi" w:hAnsiTheme="minorHAnsi"/>
          <w:b/>
        </w:rPr>
      </w:pPr>
    </w:p>
    <w:p w14:paraId="73A868FE" w14:textId="5D0C6CD1" w:rsidR="003F70CC" w:rsidRDefault="003F70CC" w:rsidP="00C35D83">
      <w:pPr>
        <w:spacing w:after="240" w:line="360" w:lineRule="auto"/>
        <w:contextualSpacing/>
        <w:jc w:val="both"/>
        <w:rPr>
          <w:rFonts w:asciiTheme="minorHAnsi" w:hAnsiTheme="minorHAnsi"/>
          <w:b/>
        </w:rPr>
      </w:pPr>
      <w:r>
        <w:rPr>
          <w:rFonts w:asciiTheme="minorHAnsi" w:hAnsiTheme="minorHAnsi"/>
          <w:b/>
        </w:rPr>
        <w:t>Explanatory Note:</w:t>
      </w:r>
    </w:p>
    <w:p w14:paraId="31DCD639" w14:textId="30352B08" w:rsidR="003F70CC" w:rsidRDefault="003F70CC" w:rsidP="00C35D83">
      <w:pPr>
        <w:spacing w:after="240" w:line="360" w:lineRule="auto"/>
        <w:contextualSpacing/>
        <w:jc w:val="both"/>
        <w:rPr>
          <w:rFonts w:asciiTheme="minorHAnsi" w:hAnsiTheme="minorHAnsi"/>
          <w:b/>
        </w:rPr>
      </w:pPr>
    </w:p>
    <w:p w14:paraId="02C08E01" w14:textId="0A664327" w:rsidR="003F70CC" w:rsidRPr="003F70CC" w:rsidRDefault="003F70CC" w:rsidP="00C35D83">
      <w:pPr>
        <w:spacing w:after="240" w:line="360" w:lineRule="auto"/>
        <w:contextualSpacing/>
        <w:jc w:val="both"/>
        <w:rPr>
          <w:rFonts w:asciiTheme="minorHAnsi" w:hAnsiTheme="minorHAnsi"/>
        </w:rPr>
      </w:pPr>
      <w:r w:rsidRPr="003F70CC">
        <w:rPr>
          <w:rFonts w:asciiTheme="minorHAnsi" w:hAnsiTheme="minorHAnsi"/>
        </w:rPr>
        <w:t xml:space="preserve">This Head provides the basis for </w:t>
      </w:r>
      <w:r>
        <w:rPr>
          <w:rFonts w:asciiTheme="minorHAnsi" w:hAnsiTheme="minorHAnsi"/>
        </w:rPr>
        <w:t>the allocation of exchequer funds to support the arrangements proposed in the Bill.</w:t>
      </w:r>
    </w:p>
    <w:sectPr w:rsidR="003F70CC" w:rsidRPr="003F70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1375F" w14:textId="77777777" w:rsidR="00D46D4C" w:rsidRDefault="00D46D4C" w:rsidP="00D46D4C">
      <w:r>
        <w:separator/>
      </w:r>
    </w:p>
  </w:endnote>
  <w:endnote w:type="continuationSeparator" w:id="0">
    <w:p w14:paraId="1789A9B3" w14:textId="77777777" w:rsidR="00D46D4C" w:rsidRDefault="00D46D4C" w:rsidP="00D4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33708" w14:textId="77777777" w:rsidR="00D46D4C" w:rsidRDefault="00D46D4C" w:rsidP="00D46D4C">
      <w:r>
        <w:separator/>
      </w:r>
    </w:p>
  </w:footnote>
  <w:footnote w:type="continuationSeparator" w:id="0">
    <w:p w14:paraId="39CADD69" w14:textId="77777777" w:rsidR="00D46D4C" w:rsidRDefault="00D46D4C" w:rsidP="00D46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34C6"/>
    <w:multiLevelType w:val="hybridMultilevel"/>
    <w:tmpl w:val="3C5E4A08"/>
    <w:lvl w:ilvl="0" w:tplc="58F8B41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55A72029"/>
    <w:multiLevelType w:val="hybridMultilevel"/>
    <w:tmpl w:val="C06A51FC"/>
    <w:lvl w:ilvl="0" w:tplc="5E287A0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10"/>
    <w:rsid w:val="00012EC3"/>
    <w:rsid w:val="0002244B"/>
    <w:rsid w:val="00035A9E"/>
    <w:rsid w:val="00042AD2"/>
    <w:rsid w:val="000441B4"/>
    <w:rsid w:val="00056643"/>
    <w:rsid w:val="00080A10"/>
    <w:rsid w:val="000C2D65"/>
    <w:rsid w:val="00181743"/>
    <w:rsid w:val="0018449B"/>
    <w:rsid w:val="001922C1"/>
    <w:rsid w:val="001D525D"/>
    <w:rsid w:val="001F172E"/>
    <w:rsid w:val="0024701B"/>
    <w:rsid w:val="002C48CB"/>
    <w:rsid w:val="002E578E"/>
    <w:rsid w:val="00361F47"/>
    <w:rsid w:val="00363F49"/>
    <w:rsid w:val="003642A9"/>
    <w:rsid w:val="00382AF3"/>
    <w:rsid w:val="00392519"/>
    <w:rsid w:val="003A6877"/>
    <w:rsid w:val="003D7685"/>
    <w:rsid w:val="003F70CC"/>
    <w:rsid w:val="00415AE3"/>
    <w:rsid w:val="004C0ACE"/>
    <w:rsid w:val="004E2920"/>
    <w:rsid w:val="00507109"/>
    <w:rsid w:val="00537C2F"/>
    <w:rsid w:val="005B7D3B"/>
    <w:rsid w:val="005D1367"/>
    <w:rsid w:val="005E2072"/>
    <w:rsid w:val="006011D1"/>
    <w:rsid w:val="00696190"/>
    <w:rsid w:val="006C5710"/>
    <w:rsid w:val="006D1FEC"/>
    <w:rsid w:val="006E0BEB"/>
    <w:rsid w:val="00700BD1"/>
    <w:rsid w:val="0075199D"/>
    <w:rsid w:val="00771279"/>
    <w:rsid w:val="007E7A94"/>
    <w:rsid w:val="00832858"/>
    <w:rsid w:val="00871D0B"/>
    <w:rsid w:val="008E29F0"/>
    <w:rsid w:val="00934218"/>
    <w:rsid w:val="00936DAB"/>
    <w:rsid w:val="00940C1D"/>
    <w:rsid w:val="00940D79"/>
    <w:rsid w:val="0098038F"/>
    <w:rsid w:val="009D706C"/>
    <w:rsid w:val="009E5305"/>
    <w:rsid w:val="00A22A30"/>
    <w:rsid w:val="00A36259"/>
    <w:rsid w:val="00A76F4D"/>
    <w:rsid w:val="00AD0BA9"/>
    <w:rsid w:val="00B1549D"/>
    <w:rsid w:val="00B239BD"/>
    <w:rsid w:val="00B251F6"/>
    <w:rsid w:val="00B700D0"/>
    <w:rsid w:val="00B95066"/>
    <w:rsid w:val="00BF20E5"/>
    <w:rsid w:val="00C35D83"/>
    <w:rsid w:val="00CA4B1D"/>
    <w:rsid w:val="00D2719D"/>
    <w:rsid w:val="00D46D4C"/>
    <w:rsid w:val="00D535D7"/>
    <w:rsid w:val="00D90E2C"/>
    <w:rsid w:val="00E00DE9"/>
    <w:rsid w:val="00E20E1B"/>
    <w:rsid w:val="00E462AD"/>
    <w:rsid w:val="00EB656D"/>
    <w:rsid w:val="00EE2F72"/>
    <w:rsid w:val="00EF481C"/>
    <w:rsid w:val="00F07077"/>
    <w:rsid w:val="00FA0B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7EF7"/>
  <w15:chartTrackingRefBased/>
  <w15:docId w15:val="{9C57C4C0-5F6C-468C-89D6-CBCB6006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A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2A30"/>
    <w:rPr>
      <w:sz w:val="16"/>
      <w:szCs w:val="16"/>
    </w:rPr>
  </w:style>
  <w:style w:type="paragraph" w:styleId="CommentText">
    <w:name w:val="annotation text"/>
    <w:basedOn w:val="Normal"/>
    <w:link w:val="CommentTextChar"/>
    <w:uiPriority w:val="99"/>
    <w:semiHidden/>
    <w:unhideWhenUsed/>
    <w:rsid w:val="00A22A30"/>
    <w:rPr>
      <w:sz w:val="20"/>
      <w:szCs w:val="20"/>
    </w:rPr>
  </w:style>
  <w:style w:type="character" w:customStyle="1" w:styleId="CommentTextChar">
    <w:name w:val="Comment Text Char"/>
    <w:basedOn w:val="DefaultParagraphFont"/>
    <w:link w:val="CommentText"/>
    <w:uiPriority w:val="99"/>
    <w:semiHidden/>
    <w:rsid w:val="00A22A3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22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A30"/>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D46D4C"/>
    <w:rPr>
      <w:sz w:val="20"/>
      <w:szCs w:val="20"/>
    </w:rPr>
  </w:style>
  <w:style w:type="character" w:customStyle="1" w:styleId="FootnoteTextChar">
    <w:name w:val="Footnote Text Char"/>
    <w:basedOn w:val="DefaultParagraphFont"/>
    <w:link w:val="FootnoteText"/>
    <w:uiPriority w:val="99"/>
    <w:semiHidden/>
    <w:rsid w:val="00D46D4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46D4C"/>
    <w:rPr>
      <w:vertAlign w:val="superscript"/>
    </w:rPr>
  </w:style>
  <w:style w:type="paragraph" w:styleId="ListParagraph">
    <w:name w:val="List Paragraph"/>
    <w:basedOn w:val="Normal"/>
    <w:uiPriority w:val="34"/>
    <w:qFormat/>
    <w:rsid w:val="007E7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DCYA058-033-2020</eDocs_FileName>
    <_dlc_ExpireDateSaved xmlns="http://schemas.microsoft.com/sharepoint/v3" xsi:nil="true"/>
    <_dlc_ExpireDate xmlns="http://schemas.microsoft.com/sharepoint/v3">2020-12-15T10:10:46+00:00</_dlc_ExpireDate>
    <TaxCatchAll xmlns="ea458f57-3c93-438a-8628-9eb7837ba250">
      <Value>19</Value>
      <Value>23</Value>
      <Value>22</Value>
      <Value>1</Value>
    </TaxCatchAll>
    <eDocs_YearTaxHTField0 xmlns="8381b5a3-a2da-4401-9955-41e4e89abd82">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DocumentTopicsTaxHTField0 xmlns="8381b5a3-a2da-4401-9955-41e4e89abd82">
      <Terms xmlns="http://schemas.microsoft.com/office/infopath/2007/PartnerControls"/>
    </eDocs_DocumentTopicsTaxHTField0>
    <eDocs_FileTopicsTaxHTField0 xmlns="8381b5a3-a2da-4401-9955-41e4e89abd82">
      <Terms xmlns="http://schemas.microsoft.com/office/infopath/2007/PartnerControls">
        <TermInfo xmlns="http://schemas.microsoft.com/office/infopath/2007/PartnerControls">
          <TermName xmlns="http://schemas.microsoft.com/office/infopath/2007/PartnerControls">Cabinet</TermName>
          <TermId xmlns="http://schemas.microsoft.com/office/infopath/2007/PartnerControls">3d00db3d-fbb1-428e-8dbd-ba2bde18d3f8</TermId>
        </TermInfo>
      </Terms>
    </eDocs_FileTopicsTaxHTField0>
    <eDocs_SeriesSubSeriesTaxHTField0 xmlns="8381b5a3-a2da-4401-9955-41e4e89abd82">
      <Terms xmlns="http://schemas.microsoft.com/office/infopath/2007/PartnerControls">
        <TermInfo xmlns="http://schemas.microsoft.com/office/infopath/2007/PartnerControls">
          <TermName xmlns="http://schemas.microsoft.com/office/infopath/2007/PartnerControls">058</TermName>
          <TermId xmlns="http://schemas.microsoft.com/office/infopath/2007/PartnerControls">ac946300-ea2e-47f7-b2ca-ee6bd5b169f3</TermId>
        </TermInfo>
      </Terms>
    </eDocs_SeriesSubSerie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B71A0383A5A5A94DA3E6CF30C1F3784A" ma:contentTypeVersion="11" ma:contentTypeDescription="Create a new document for eDocs" ma:contentTypeScope="" ma:versionID="02bff34e86cd7c46554b1a1366d32749">
  <xsd:schema xmlns:xsd="http://www.w3.org/2001/XMLSchema" xmlns:xs="http://www.w3.org/2001/XMLSchema" xmlns:p="http://schemas.microsoft.com/office/2006/metadata/properties" xmlns:ns1="http://schemas.microsoft.com/sharepoint/v3" xmlns:ns2="8381b5a3-a2da-4401-9955-41e4e89abd82" xmlns:ns3="ea458f57-3c93-438a-8628-9eb7837ba250" targetNamespace="http://schemas.microsoft.com/office/2006/metadata/properties" ma:root="true" ma:fieldsID="37cb3794aa384e4d86437c557fe5c954" ns1:_="" ns2:_="" ns3:_="">
    <xsd:import namespace="http://schemas.microsoft.com/sharepoint/v3"/>
    <xsd:import namespace="8381b5a3-a2da-4401-9955-41e4e89abd82"/>
    <xsd:import namespace="ea458f57-3c93-438a-8628-9eb7837ba25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8381b5a3-a2da-4401-9955-41e4e89abd82"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458f57-3c93-438a-8628-9eb7837ba2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195ee2b-85af-4b36-b1b0-b618d400557d}" ma:internalName="TaxCatchAll" ma:showField="CatchAllData" ma:web="ea458f57-3c93-438a-8628-9eb7837ba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db0b49a-d5c4-4164-95da-77e121d76c6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8DE1-03D5-4408-89A5-78B7F1EA92B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a458f57-3c93-438a-8628-9eb7837ba250"/>
    <ds:schemaRef ds:uri="http://schemas.microsoft.com/sharepoint/v3"/>
    <ds:schemaRef ds:uri="http://purl.org/dc/terms/"/>
    <ds:schemaRef ds:uri="http://schemas.microsoft.com/office/infopath/2007/PartnerControls"/>
    <ds:schemaRef ds:uri="8381b5a3-a2da-4401-9955-41e4e89abd82"/>
    <ds:schemaRef ds:uri="http://www.w3.org/XML/1998/namespace"/>
    <ds:schemaRef ds:uri="http://purl.org/dc/dcmitype/"/>
  </ds:schemaRefs>
</ds:datastoreItem>
</file>

<file path=customXml/itemProps2.xml><?xml version="1.0" encoding="utf-8"?>
<ds:datastoreItem xmlns:ds="http://schemas.openxmlformats.org/officeDocument/2006/customXml" ds:itemID="{3B1C1B08-0F69-4890-A56A-C24381160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81b5a3-a2da-4401-9955-41e4e89abd82"/>
    <ds:schemaRef ds:uri="ea458f57-3c93-438a-8628-9eb7837ba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46E81-7226-4D70-B514-D4C967FC3F4B}">
  <ds:schemaRefs>
    <ds:schemaRef ds:uri="http://schemas.microsoft.com/sharepoint/events"/>
  </ds:schemaRefs>
</ds:datastoreItem>
</file>

<file path=customXml/itemProps4.xml><?xml version="1.0" encoding="utf-8"?>
<ds:datastoreItem xmlns:ds="http://schemas.openxmlformats.org/officeDocument/2006/customXml" ds:itemID="{F8A6C743-8687-46BC-8452-BF8AE56BC50B}">
  <ds:schemaRefs>
    <ds:schemaRef ds:uri="office.server.policy"/>
  </ds:schemaRefs>
</ds:datastoreItem>
</file>

<file path=customXml/itemProps5.xml><?xml version="1.0" encoding="utf-8"?>
<ds:datastoreItem xmlns:ds="http://schemas.openxmlformats.org/officeDocument/2006/customXml" ds:itemID="{66EF0CB1-C59E-4D85-942A-359607A189C6}">
  <ds:schemaRefs>
    <ds:schemaRef ds:uri="http://schemas.microsoft.com/sharepoint/v3/contenttype/forms"/>
  </ds:schemaRefs>
</ds:datastoreItem>
</file>

<file path=customXml/itemProps6.xml><?xml version="1.0" encoding="utf-8"?>
<ds:datastoreItem xmlns:ds="http://schemas.openxmlformats.org/officeDocument/2006/customXml" ds:itemID="{752AD092-A12E-4A8D-8EDE-5B5826D8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Gibbs (DCYA)</dc:creator>
  <cp:keywords/>
  <dc:description/>
  <cp:lastModifiedBy>James Gibbs (DCYA)</cp:lastModifiedBy>
  <cp:revision>2</cp:revision>
  <dcterms:created xsi:type="dcterms:W3CDTF">2020-09-15T09:11:00Z</dcterms:created>
  <dcterms:modified xsi:type="dcterms:W3CDTF">2020-09-15T09:11:00Z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0x0101000BC94875665D404BB1351B53C41FD2C000B71A0383A5A5A94DA3E6CF30C1F3784A</vt:lpwstr>
  </property>
  <property fmtid="{D5CDD505-2E9C-101B-9397-08002B2CF9AE}" pid="3" name="eDocs_FileTopics">
    <vt:lpwstr>19;#Cabinet|3d00db3d-fbb1-428e-8dbd-ba2bde18d3f8</vt:lpwstr>
  </property>
  <property fmtid="{D5CDD505-2E9C-101B-9397-08002B2CF9AE}" pid="4" name="eDocs_DocumentTopics">
    <vt:lpwstr/>
  </property>
  <property fmtid="{D5CDD505-2E9C-101B-9397-08002B2CF9AE}" pid="5" name="eDocs_Year">
    <vt:lpwstr>22;#2020|7342081d-368f-4806-9734-bebf8979f269</vt:lpwstr>
  </property>
  <property fmtid="{D5CDD505-2E9C-101B-9397-08002B2CF9AE}" pid="6" name="eDocs_SeriesSubSeries">
    <vt:lpwstr>23;#058|ac946300-ea2e-47f7-b2ca-ee6bd5b169f3</vt:lpwstr>
  </property>
  <property fmtid="{D5CDD505-2E9C-101B-9397-08002B2CF9AE}" pid="7" name="eDocs_SecurityClassificationTaxHTField0">
    <vt:lpwstr>Unclassified|937cd92c-19ca-4779-afae-31096b3dc112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1;#Unclassified|937cd92c-19ca-4779-afae-31096b3dc112</vt:lpwstr>
  </property>
</Properties>
</file>