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0A" w:rsidRDefault="00204B0A">
      <w:bookmarkStart w:id="0" w:name="_GoBack"/>
      <w:bookmarkEnd w:id="0"/>
    </w:p>
    <w:p w:rsidR="008B22BA" w:rsidRDefault="008B22BA"/>
    <w:p w:rsidR="008B22BA" w:rsidRPr="004756C6" w:rsidRDefault="008B22BA" w:rsidP="008B22BA">
      <w:pPr>
        <w:tabs>
          <w:tab w:val="left" w:pos="2760"/>
        </w:tabs>
        <w:autoSpaceDE w:val="0"/>
        <w:autoSpaceDN w:val="0"/>
        <w:adjustRightInd w:val="0"/>
        <w:spacing w:after="0" w:line="240" w:lineRule="auto"/>
        <w:rPr>
          <w:rFonts w:ascii="Arial" w:eastAsia="Times New Roman" w:hAnsi="Arial" w:cs="Arial"/>
          <w:b/>
          <w:bCs/>
          <w:color w:val="000000"/>
          <w:sz w:val="24"/>
          <w:szCs w:val="24"/>
          <w:lang w:val="en-GB" w:eastAsia="en-GB"/>
        </w:rPr>
      </w:pPr>
    </w:p>
    <w:p w:rsidR="008B22BA" w:rsidRPr="006B0E78" w:rsidRDefault="008B22BA" w:rsidP="008B22BA">
      <w:pPr>
        <w:autoSpaceDE w:val="0"/>
        <w:autoSpaceDN w:val="0"/>
        <w:adjustRightInd w:val="0"/>
        <w:spacing w:after="0" w:line="240" w:lineRule="auto"/>
        <w:jc w:val="right"/>
        <w:rPr>
          <w:rFonts w:ascii="Arial" w:eastAsia="Times New Roman" w:hAnsi="Arial" w:cs="Arial"/>
          <w:b/>
          <w:bCs/>
          <w:color w:val="000000"/>
          <w:sz w:val="24"/>
          <w:szCs w:val="24"/>
          <w:lang w:val="en-GB" w:eastAsia="en-GB"/>
        </w:rPr>
      </w:pPr>
      <w:r w:rsidRPr="00F6576E">
        <w:rPr>
          <w:rFonts w:ascii="Arial" w:eastAsia="Times New Roman" w:hAnsi="Arial" w:cs="Arial"/>
          <w:b/>
          <w:bCs/>
          <w:color w:val="000000"/>
          <w:sz w:val="24"/>
          <w:szCs w:val="24"/>
          <w:lang w:val="en-GB" w:eastAsia="en-GB"/>
        </w:rPr>
        <w:t xml:space="preserve">Circular Letter </w:t>
      </w:r>
      <w:r w:rsidRPr="00361D7C">
        <w:rPr>
          <w:rFonts w:ascii="Arial" w:eastAsia="Times New Roman" w:hAnsi="Arial" w:cs="Arial"/>
          <w:b/>
          <w:bCs/>
          <w:color w:val="000000"/>
          <w:sz w:val="24"/>
          <w:szCs w:val="24"/>
          <w:lang w:val="en-GB" w:eastAsia="en-GB"/>
        </w:rPr>
        <w:t>0059/2022</w:t>
      </w:r>
    </w:p>
    <w:p w:rsidR="008B22BA" w:rsidRPr="006B0E78" w:rsidRDefault="008B22BA" w:rsidP="008B22BA">
      <w:pPr>
        <w:autoSpaceDE w:val="0"/>
        <w:autoSpaceDN w:val="0"/>
        <w:adjustRightInd w:val="0"/>
        <w:spacing w:after="0" w:line="240" w:lineRule="auto"/>
        <w:jc w:val="both"/>
        <w:rPr>
          <w:rFonts w:ascii="Arial" w:eastAsia="Times New Roman" w:hAnsi="Arial" w:cs="Arial"/>
          <w:b/>
          <w:bCs/>
          <w:color w:val="000000"/>
          <w:sz w:val="24"/>
          <w:szCs w:val="24"/>
          <w:lang w:val="en-GB" w:eastAsia="en-GB"/>
        </w:rPr>
      </w:pPr>
      <w:r w:rsidRPr="006B0E78">
        <w:rPr>
          <w:rFonts w:ascii="Arial" w:eastAsia="Times New Roman" w:hAnsi="Arial" w:cs="Arial"/>
          <w:b/>
          <w:bCs/>
          <w:color w:val="000000"/>
          <w:sz w:val="24"/>
          <w:szCs w:val="24"/>
          <w:lang w:val="en-GB" w:eastAsia="en-GB"/>
        </w:rPr>
        <w:t xml:space="preserve"> </w:t>
      </w:r>
    </w:p>
    <w:p w:rsidR="008B22BA" w:rsidRPr="006B0E78" w:rsidRDefault="008B22BA" w:rsidP="008B22BA">
      <w:pPr>
        <w:spacing w:after="0" w:line="240" w:lineRule="auto"/>
        <w:jc w:val="both"/>
        <w:rPr>
          <w:rFonts w:ascii="Arial" w:eastAsia="Times New Roman" w:hAnsi="Arial" w:cs="Arial"/>
          <w:b/>
          <w:sz w:val="24"/>
          <w:szCs w:val="24"/>
          <w:lang w:val="en-US"/>
        </w:rPr>
      </w:pPr>
    </w:p>
    <w:p w:rsidR="008B22BA" w:rsidRPr="003841B7" w:rsidRDefault="008B22BA" w:rsidP="008B22BA">
      <w:pPr>
        <w:spacing w:after="0" w:line="240" w:lineRule="auto"/>
        <w:jc w:val="center"/>
        <w:rPr>
          <w:rFonts w:ascii="Arial" w:eastAsia="Times New Roman" w:hAnsi="Arial" w:cs="Arial"/>
          <w:b/>
          <w:sz w:val="24"/>
          <w:szCs w:val="24"/>
          <w:lang w:val="en-US"/>
        </w:rPr>
      </w:pPr>
      <w:r w:rsidRPr="006B0E78">
        <w:rPr>
          <w:rFonts w:ascii="Arial" w:eastAsia="Times New Roman" w:hAnsi="Arial" w:cs="Arial"/>
          <w:b/>
          <w:sz w:val="24"/>
          <w:szCs w:val="24"/>
          <w:lang w:val="en-US"/>
        </w:rPr>
        <w:t xml:space="preserve">To: </w:t>
      </w:r>
      <w:r w:rsidRPr="00BE6913">
        <w:rPr>
          <w:rFonts w:ascii="Arial" w:eastAsia="Times New Roman" w:hAnsi="Arial" w:cs="Arial"/>
          <w:b/>
          <w:sz w:val="24"/>
          <w:szCs w:val="24"/>
          <w:lang w:val="en-US"/>
        </w:rPr>
        <w:t xml:space="preserve">The Managerial Authorities of Recognised </w:t>
      </w:r>
      <w:r w:rsidRPr="003841B7">
        <w:rPr>
          <w:rFonts w:ascii="Arial" w:eastAsia="Times New Roman" w:hAnsi="Arial" w:cs="Arial"/>
          <w:b/>
          <w:sz w:val="24"/>
          <w:szCs w:val="24"/>
          <w:lang w:val="en-US"/>
        </w:rPr>
        <w:t>Secondary,</w:t>
      </w:r>
    </w:p>
    <w:p w:rsidR="008B22BA" w:rsidRPr="003841B7" w:rsidRDefault="008B22BA" w:rsidP="008B22BA">
      <w:pPr>
        <w:spacing w:after="0" w:line="240" w:lineRule="auto"/>
        <w:jc w:val="center"/>
        <w:rPr>
          <w:rFonts w:ascii="Arial" w:eastAsia="Times New Roman" w:hAnsi="Arial" w:cs="Arial"/>
          <w:b/>
          <w:sz w:val="24"/>
          <w:szCs w:val="24"/>
          <w:lang w:val="en-US"/>
        </w:rPr>
      </w:pPr>
      <w:r w:rsidRPr="003841B7">
        <w:rPr>
          <w:rFonts w:ascii="Arial" w:eastAsia="Times New Roman" w:hAnsi="Arial" w:cs="Arial"/>
          <w:b/>
          <w:sz w:val="24"/>
          <w:szCs w:val="24"/>
          <w:lang w:val="en-US"/>
        </w:rPr>
        <w:t>Community and Comprehensive Schools</w:t>
      </w:r>
    </w:p>
    <w:p w:rsidR="008B22BA" w:rsidRPr="003841B7" w:rsidRDefault="008B22BA" w:rsidP="008B22BA">
      <w:pPr>
        <w:spacing w:after="0" w:line="240" w:lineRule="auto"/>
        <w:jc w:val="center"/>
        <w:rPr>
          <w:rFonts w:ascii="Arial" w:eastAsia="Times New Roman" w:hAnsi="Arial" w:cs="Arial"/>
          <w:b/>
          <w:sz w:val="24"/>
          <w:szCs w:val="24"/>
          <w:lang w:val="en-US"/>
        </w:rPr>
      </w:pPr>
      <w:proofErr w:type="gramStart"/>
      <w:r w:rsidRPr="003841B7">
        <w:rPr>
          <w:rFonts w:ascii="Arial" w:eastAsia="Times New Roman" w:hAnsi="Arial" w:cs="Arial"/>
          <w:b/>
          <w:sz w:val="24"/>
          <w:szCs w:val="24"/>
          <w:lang w:val="en-US"/>
        </w:rPr>
        <w:t>and</w:t>
      </w:r>
      <w:proofErr w:type="gramEnd"/>
    </w:p>
    <w:p w:rsidR="008B22BA" w:rsidRPr="00BE6913" w:rsidRDefault="008B22BA" w:rsidP="008B22BA">
      <w:pPr>
        <w:spacing w:after="0" w:line="240" w:lineRule="auto"/>
        <w:jc w:val="center"/>
        <w:rPr>
          <w:rFonts w:ascii="Arial" w:eastAsia="Times New Roman" w:hAnsi="Arial" w:cs="Arial"/>
          <w:b/>
          <w:sz w:val="24"/>
          <w:szCs w:val="24"/>
          <w:lang w:val="en-US"/>
        </w:rPr>
      </w:pPr>
      <w:proofErr w:type="gramStart"/>
      <w:r w:rsidRPr="003841B7">
        <w:rPr>
          <w:rFonts w:ascii="Arial" w:eastAsia="Times New Roman" w:hAnsi="Arial" w:cs="Arial"/>
          <w:b/>
          <w:sz w:val="24"/>
          <w:szCs w:val="24"/>
          <w:lang w:val="en-US"/>
        </w:rPr>
        <w:t>the</w:t>
      </w:r>
      <w:proofErr w:type="gramEnd"/>
      <w:r w:rsidRPr="003841B7">
        <w:rPr>
          <w:rFonts w:ascii="Arial" w:eastAsia="Times New Roman" w:hAnsi="Arial" w:cs="Arial"/>
          <w:b/>
          <w:sz w:val="24"/>
          <w:szCs w:val="24"/>
          <w:lang w:val="en-US"/>
        </w:rPr>
        <w:t xml:space="preserve"> Chief Executives of Education and Training Boards</w:t>
      </w:r>
    </w:p>
    <w:p w:rsidR="008B22BA" w:rsidRDefault="008B22BA" w:rsidP="008B22BA">
      <w:pPr>
        <w:ind w:right="-874"/>
        <w:jc w:val="center"/>
        <w:rPr>
          <w:rFonts w:ascii="Arial" w:hAnsi="Arial" w:cs="Arial"/>
          <w:b/>
          <w:bCs/>
          <w:iCs/>
          <w:color w:val="004D44"/>
          <w:sz w:val="24"/>
          <w:szCs w:val="24"/>
        </w:rPr>
      </w:pPr>
    </w:p>
    <w:p w:rsidR="008B22BA" w:rsidRPr="006B7D4B" w:rsidRDefault="008B22BA" w:rsidP="008B22BA">
      <w:pPr>
        <w:ind w:right="-46"/>
        <w:jc w:val="center"/>
        <w:rPr>
          <w:rFonts w:ascii="Arial" w:hAnsi="Arial" w:cs="Arial"/>
          <w:b/>
          <w:bCs/>
          <w:iCs/>
          <w:color w:val="004D44"/>
          <w:sz w:val="28"/>
          <w:szCs w:val="28"/>
        </w:rPr>
      </w:pPr>
      <w:r w:rsidRPr="006B7D4B">
        <w:rPr>
          <w:rFonts w:ascii="Arial" w:hAnsi="Arial" w:cs="Arial"/>
          <w:b/>
          <w:bCs/>
          <w:iCs/>
          <w:color w:val="004D44"/>
          <w:sz w:val="28"/>
          <w:szCs w:val="28"/>
        </w:rPr>
        <w:t>Building Momentum - A New Public Service Agreement 2021-2022</w:t>
      </w:r>
    </w:p>
    <w:p w:rsidR="008B22BA" w:rsidRDefault="008B22BA" w:rsidP="008B22BA">
      <w:pPr>
        <w:ind w:right="-46"/>
        <w:jc w:val="center"/>
        <w:rPr>
          <w:rFonts w:ascii="Arial" w:hAnsi="Arial" w:cs="Arial"/>
          <w:b/>
          <w:bCs/>
          <w:iCs/>
          <w:color w:val="004D44"/>
          <w:sz w:val="28"/>
          <w:szCs w:val="28"/>
        </w:rPr>
      </w:pPr>
      <w:r w:rsidRPr="006B7D4B">
        <w:rPr>
          <w:rFonts w:ascii="Arial" w:hAnsi="Arial" w:cs="Arial"/>
          <w:b/>
          <w:bCs/>
          <w:iCs/>
          <w:color w:val="004D44"/>
          <w:sz w:val="28"/>
          <w:szCs w:val="28"/>
        </w:rPr>
        <w:t xml:space="preserve">Implementation of Sectoral Bargaining with effect from </w:t>
      </w:r>
    </w:p>
    <w:p w:rsidR="008B22BA" w:rsidRPr="006B7D4B" w:rsidRDefault="008B22BA" w:rsidP="008B22BA">
      <w:pPr>
        <w:ind w:right="-46"/>
        <w:jc w:val="center"/>
        <w:rPr>
          <w:rFonts w:ascii="Arial" w:hAnsi="Arial" w:cs="Arial"/>
          <w:b/>
          <w:bCs/>
          <w:iCs/>
          <w:color w:val="004D44"/>
          <w:sz w:val="28"/>
          <w:szCs w:val="28"/>
        </w:rPr>
      </w:pPr>
      <w:r w:rsidRPr="006B7D4B">
        <w:rPr>
          <w:rFonts w:ascii="Arial" w:hAnsi="Arial" w:cs="Arial"/>
          <w:b/>
          <w:bCs/>
          <w:iCs/>
          <w:color w:val="004D44"/>
          <w:sz w:val="28"/>
          <w:szCs w:val="28"/>
        </w:rPr>
        <w:t>1 February 2022</w:t>
      </w:r>
      <w:r>
        <w:rPr>
          <w:rFonts w:ascii="Arial" w:hAnsi="Arial" w:cs="Arial"/>
          <w:b/>
          <w:bCs/>
          <w:iCs/>
          <w:color w:val="004D44"/>
          <w:sz w:val="28"/>
          <w:szCs w:val="28"/>
        </w:rPr>
        <w:t xml:space="preserve"> for post primary teachers – Payment of PME/</w:t>
      </w:r>
      <w:proofErr w:type="spellStart"/>
      <w:r>
        <w:rPr>
          <w:rFonts w:ascii="Arial" w:hAnsi="Arial" w:cs="Arial"/>
          <w:b/>
          <w:bCs/>
          <w:iCs/>
          <w:color w:val="004D44"/>
          <w:sz w:val="28"/>
          <w:szCs w:val="28"/>
        </w:rPr>
        <w:t>HDip</w:t>
      </w:r>
      <w:proofErr w:type="spellEnd"/>
      <w:r>
        <w:rPr>
          <w:rFonts w:ascii="Arial" w:hAnsi="Arial" w:cs="Arial"/>
          <w:b/>
          <w:bCs/>
          <w:iCs/>
          <w:color w:val="004D44"/>
          <w:sz w:val="28"/>
          <w:szCs w:val="28"/>
        </w:rPr>
        <w:t xml:space="preserve"> Allowance</w:t>
      </w:r>
    </w:p>
    <w:p w:rsidR="008B22BA" w:rsidRDefault="008B22BA" w:rsidP="008B22BA">
      <w:pPr>
        <w:pStyle w:val="ListParagraph"/>
        <w:spacing w:after="0" w:line="240" w:lineRule="auto"/>
        <w:ind w:left="426"/>
        <w:jc w:val="both"/>
        <w:rPr>
          <w:rFonts w:ascii="Arial" w:hAnsi="Arial" w:cs="Arial"/>
          <w:sz w:val="24"/>
          <w:szCs w:val="24"/>
        </w:rPr>
      </w:pPr>
    </w:p>
    <w:p w:rsidR="008B22BA" w:rsidRPr="00710C01" w:rsidRDefault="008B22BA" w:rsidP="008B22BA">
      <w:pPr>
        <w:pStyle w:val="ListParagraph"/>
        <w:spacing w:after="0" w:line="240" w:lineRule="auto"/>
        <w:ind w:left="426"/>
        <w:jc w:val="both"/>
        <w:rPr>
          <w:rFonts w:ascii="Arial" w:hAnsi="Arial" w:cs="Arial"/>
          <w:sz w:val="24"/>
          <w:szCs w:val="24"/>
        </w:rPr>
      </w:pPr>
    </w:p>
    <w:p w:rsidR="008B22BA" w:rsidRPr="00710C01" w:rsidRDefault="008B22BA" w:rsidP="008B22BA">
      <w:pPr>
        <w:pStyle w:val="ListParagraph"/>
        <w:numPr>
          <w:ilvl w:val="0"/>
          <w:numId w:val="1"/>
        </w:numPr>
        <w:spacing w:after="0" w:line="240" w:lineRule="auto"/>
        <w:ind w:left="284" w:right="-23" w:hanging="426"/>
        <w:rPr>
          <w:rFonts w:ascii="Arial" w:hAnsi="Arial" w:cs="Arial"/>
          <w:sz w:val="24"/>
          <w:szCs w:val="24"/>
        </w:rPr>
      </w:pPr>
      <w:r w:rsidRPr="00710C01">
        <w:rPr>
          <w:rFonts w:ascii="Arial" w:hAnsi="Arial" w:cs="Arial"/>
          <w:sz w:val="24"/>
          <w:szCs w:val="24"/>
        </w:rPr>
        <w:t>The Minister for Education wishes to inform Managerial Authorities and Post Primary Teachers of the</w:t>
      </w:r>
      <w:r>
        <w:rPr>
          <w:rFonts w:ascii="Arial" w:hAnsi="Arial" w:cs="Arial"/>
          <w:sz w:val="24"/>
          <w:szCs w:val="24"/>
        </w:rPr>
        <w:t xml:space="preserve"> </w:t>
      </w:r>
      <w:r w:rsidRPr="00710C01">
        <w:rPr>
          <w:rFonts w:ascii="Arial" w:hAnsi="Arial" w:cs="Arial"/>
          <w:sz w:val="24"/>
          <w:szCs w:val="24"/>
        </w:rPr>
        <w:t xml:space="preserve">application of adjustments to certain allowances for </w:t>
      </w:r>
      <w:r>
        <w:rPr>
          <w:rFonts w:ascii="Arial" w:hAnsi="Arial" w:cs="Arial"/>
          <w:sz w:val="24"/>
          <w:szCs w:val="24"/>
        </w:rPr>
        <w:t xml:space="preserve">post primary </w:t>
      </w:r>
      <w:r w:rsidRPr="00710C01">
        <w:rPr>
          <w:rFonts w:ascii="Arial" w:hAnsi="Arial" w:cs="Arial"/>
          <w:sz w:val="24"/>
          <w:szCs w:val="24"/>
        </w:rPr>
        <w:t>teachers</w:t>
      </w:r>
      <w:r>
        <w:rPr>
          <w:rFonts w:ascii="Arial" w:hAnsi="Arial" w:cs="Arial"/>
          <w:sz w:val="24"/>
          <w:szCs w:val="24"/>
        </w:rPr>
        <w:t xml:space="preserve">, including teachers working </w:t>
      </w:r>
      <w:r w:rsidRPr="00D81021">
        <w:rPr>
          <w:rFonts w:ascii="Arial" w:hAnsi="Arial" w:cs="Arial"/>
          <w:sz w:val="24"/>
          <w:szCs w:val="24"/>
        </w:rPr>
        <w:t>in settings</w:t>
      </w:r>
      <w:r>
        <w:rPr>
          <w:rFonts w:ascii="Arial" w:hAnsi="Arial" w:cs="Arial"/>
          <w:sz w:val="24"/>
          <w:szCs w:val="24"/>
        </w:rPr>
        <w:t xml:space="preserve"> other than post primary schools e.g. further education settings</w:t>
      </w:r>
      <w:r w:rsidRPr="00D81021">
        <w:rPr>
          <w:rFonts w:ascii="Arial" w:hAnsi="Arial" w:cs="Arial"/>
          <w:sz w:val="24"/>
          <w:szCs w:val="24"/>
        </w:rPr>
        <w:t>)</w:t>
      </w:r>
      <w:r w:rsidRPr="00710C01">
        <w:rPr>
          <w:rFonts w:ascii="Arial" w:hAnsi="Arial" w:cs="Arial"/>
          <w:sz w:val="24"/>
          <w:szCs w:val="24"/>
        </w:rPr>
        <w:t xml:space="preserve"> with effect from 1 February 2022. </w:t>
      </w:r>
    </w:p>
    <w:p w:rsidR="008B22BA" w:rsidRPr="00710C01" w:rsidRDefault="008B22BA" w:rsidP="008B22BA">
      <w:pPr>
        <w:spacing w:after="0" w:line="240" w:lineRule="auto"/>
        <w:ind w:left="284" w:right="-23" w:hanging="426"/>
        <w:rPr>
          <w:rFonts w:ascii="Arial" w:hAnsi="Arial" w:cs="Arial"/>
          <w:sz w:val="24"/>
          <w:szCs w:val="24"/>
        </w:rPr>
      </w:pPr>
    </w:p>
    <w:p w:rsidR="008B22BA" w:rsidRPr="00710C01" w:rsidRDefault="00DE42B6" w:rsidP="008B22BA">
      <w:pPr>
        <w:pStyle w:val="ListParagraph"/>
        <w:numPr>
          <w:ilvl w:val="0"/>
          <w:numId w:val="1"/>
        </w:numPr>
        <w:spacing w:after="0" w:line="240" w:lineRule="auto"/>
        <w:ind w:left="284" w:right="-23" w:hanging="426"/>
        <w:rPr>
          <w:rFonts w:ascii="Arial" w:hAnsi="Arial" w:cs="Arial"/>
          <w:sz w:val="24"/>
          <w:szCs w:val="24"/>
        </w:rPr>
      </w:pPr>
      <w:hyperlink r:id="rId7" w:history="1">
        <w:r w:rsidR="008B22BA" w:rsidRPr="00710C01">
          <w:rPr>
            <w:rStyle w:val="Hyperlink"/>
            <w:rFonts w:ascii="Arial" w:hAnsi="Arial" w:cs="Arial"/>
            <w:sz w:val="24"/>
            <w:szCs w:val="24"/>
          </w:rPr>
          <w:t>Building Momentum – A New Public Service Agreement 2021-2022</w:t>
        </w:r>
      </w:hyperlink>
      <w:r w:rsidR="008B22BA" w:rsidRPr="00710C01">
        <w:rPr>
          <w:rFonts w:ascii="Arial" w:hAnsi="Arial" w:cs="Arial"/>
          <w:sz w:val="24"/>
          <w:szCs w:val="24"/>
        </w:rPr>
        <w:t xml:space="preserve"> provides for the equivalent of a 1% increase in annualised basic salaries to be used as a Sectoral Bargaining Fund or a general pay round increase on 1 February 2022.</w:t>
      </w:r>
      <w:r w:rsidR="008B22BA" w:rsidRPr="00710C01" w:rsidDel="004C315B">
        <w:rPr>
          <w:rFonts w:ascii="Arial" w:hAnsi="Arial" w:cs="Arial"/>
          <w:sz w:val="24"/>
          <w:szCs w:val="24"/>
        </w:rPr>
        <w:t xml:space="preserve"> </w:t>
      </w:r>
    </w:p>
    <w:p w:rsidR="008B22BA" w:rsidRPr="00710C01" w:rsidRDefault="008B22BA" w:rsidP="008B22BA">
      <w:pPr>
        <w:pStyle w:val="ListParagraph"/>
        <w:spacing w:after="0" w:line="240" w:lineRule="auto"/>
        <w:ind w:left="284" w:right="-23" w:hanging="426"/>
        <w:rPr>
          <w:rFonts w:ascii="Arial" w:hAnsi="Arial" w:cs="Arial"/>
          <w:sz w:val="24"/>
          <w:szCs w:val="24"/>
        </w:rPr>
      </w:pPr>
    </w:p>
    <w:p w:rsidR="008B22BA" w:rsidRDefault="008B22BA" w:rsidP="008B22BA">
      <w:pPr>
        <w:pStyle w:val="ListParagraph"/>
        <w:numPr>
          <w:ilvl w:val="0"/>
          <w:numId w:val="1"/>
        </w:numPr>
        <w:spacing w:after="0" w:line="240" w:lineRule="auto"/>
        <w:ind w:left="284" w:right="-23" w:hanging="426"/>
        <w:rPr>
          <w:rFonts w:ascii="Arial" w:hAnsi="Arial" w:cs="Arial"/>
          <w:sz w:val="24"/>
          <w:szCs w:val="24"/>
        </w:rPr>
      </w:pPr>
      <w:r w:rsidRPr="00403E7B">
        <w:rPr>
          <w:rFonts w:ascii="Arial" w:hAnsi="Arial" w:cs="Arial"/>
          <w:sz w:val="24"/>
          <w:szCs w:val="24"/>
        </w:rPr>
        <w:t xml:space="preserve">The </w:t>
      </w:r>
      <w:r>
        <w:rPr>
          <w:rFonts w:ascii="Arial" w:hAnsi="Arial" w:cs="Arial"/>
          <w:sz w:val="24"/>
          <w:szCs w:val="24"/>
        </w:rPr>
        <w:t>agreed outcome with the post-primary teaching unions in relation to the Sectoral Bargaining Fund is that it will be used in part to settle a claim for the payment of the</w:t>
      </w:r>
      <w:r w:rsidRPr="00403E7B">
        <w:rPr>
          <w:rFonts w:ascii="Arial" w:hAnsi="Arial" w:cs="Arial"/>
          <w:sz w:val="24"/>
          <w:szCs w:val="24"/>
        </w:rPr>
        <w:t xml:space="preserve"> </w:t>
      </w:r>
      <w:r>
        <w:rPr>
          <w:rFonts w:ascii="Arial" w:hAnsi="Arial" w:cs="Arial"/>
          <w:sz w:val="24"/>
          <w:szCs w:val="24"/>
        </w:rPr>
        <w:t>Professional Master of Education (PME)/Higher Diploma in Education Allowance (</w:t>
      </w:r>
      <w:proofErr w:type="spellStart"/>
      <w:r>
        <w:rPr>
          <w:rFonts w:ascii="Arial" w:hAnsi="Arial" w:cs="Arial"/>
          <w:sz w:val="24"/>
          <w:szCs w:val="24"/>
        </w:rPr>
        <w:t>H.Dip</w:t>
      </w:r>
      <w:proofErr w:type="spellEnd"/>
      <w:r>
        <w:rPr>
          <w:rFonts w:ascii="Arial" w:hAnsi="Arial" w:cs="Arial"/>
          <w:sz w:val="24"/>
          <w:szCs w:val="24"/>
        </w:rPr>
        <w:t xml:space="preserve"> in Ed) </w:t>
      </w:r>
      <w:r w:rsidRPr="00403E7B">
        <w:rPr>
          <w:rFonts w:ascii="Arial" w:hAnsi="Arial" w:cs="Arial"/>
          <w:sz w:val="24"/>
          <w:szCs w:val="24"/>
        </w:rPr>
        <w:t xml:space="preserve">for </w:t>
      </w:r>
      <w:r>
        <w:rPr>
          <w:rFonts w:ascii="Arial" w:hAnsi="Arial" w:cs="Arial"/>
          <w:sz w:val="24"/>
          <w:szCs w:val="24"/>
        </w:rPr>
        <w:t xml:space="preserve">certain new entrant teachers in </w:t>
      </w:r>
      <w:r w:rsidRPr="00403E7B">
        <w:rPr>
          <w:rFonts w:ascii="Arial" w:hAnsi="Arial" w:cs="Arial"/>
          <w:sz w:val="24"/>
          <w:szCs w:val="24"/>
        </w:rPr>
        <w:t>the post</w:t>
      </w:r>
      <w:r>
        <w:rPr>
          <w:rFonts w:ascii="Arial" w:hAnsi="Arial" w:cs="Arial"/>
          <w:sz w:val="24"/>
          <w:szCs w:val="24"/>
        </w:rPr>
        <w:t xml:space="preserve"> </w:t>
      </w:r>
      <w:r w:rsidRPr="00403E7B">
        <w:rPr>
          <w:rFonts w:ascii="Arial" w:hAnsi="Arial" w:cs="Arial"/>
          <w:sz w:val="24"/>
          <w:szCs w:val="24"/>
        </w:rPr>
        <w:t>primary sector.</w:t>
      </w:r>
    </w:p>
    <w:p w:rsidR="008B22BA" w:rsidRDefault="008B22BA" w:rsidP="008B22BA">
      <w:pPr>
        <w:pStyle w:val="ListParagraph"/>
        <w:spacing w:after="0" w:line="240" w:lineRule="auto"/>
        <w:ind w:left="284" w:right="-23"/>
        <w:rPr>
          <w:rFonts w:ascii="Arial" w:hAnsi="Arial" w:cs="Arial"/>
          <w:sz w:val="24"/>
          <w:szCs w:val="24"/>
        </w:rPr>
      </w:pPr>
    </w:p>
    <w:p w:rsidR="008B22BA" w:rsidRDefault="008B22BA" w:rsidP="008B22BA">
      <w:pPr>
        <w:pStyle w:val="ListParagraph"/>
        <w:numPr>
          <w:ilvl w:val="0"/>
          <w:numId w:val="1"/>
        </w:numPr>
        <w:spacing w:after="0" w:line="240" w:lineRule="auto"/>
        <w:ind w:left="284" w:right="-23" w:hanging="426"/>
        <w:rPr>
          <w:rFonts w:ascii="Arial" w:hAnsi="Arial" w:cs="Arial"/>
          <w:sz w:val="24"/>
          <w:szCs w:val="24"/>
        </w:rPr>
      </w:pPr>
      <w:r w:rsidRPr="004B2313">
        <w:rPr>
          <w:rFonts w:ascii="Arial" w:hAnsi="Arial" w:cs="Arial"/>
          <w:sz w:val="24"/>
          <w:szCs w:val="24"/>
        </w:rPr>
        <w:t xml:space="preserve">This arrangement applies to teachers in post primary schools and certain further education settings </w:t>
      </w:r>
      <w:r w:rsidRPr="00E61991">
        <w:rPr>
          <w:rFonts w:ascii="Arial" w:hAnsi="Arial" w:cs="Arial"/>
          <w:sz w:val="24"/>
          <w:szCs w:val="24"/>
          <w:u w:val="single"/>
        </w:rPr>
        <w:t>only</w:t>
      </w:r>
      <w:r w:rsidRPr="004B2313">
        <w:rPr>
          <w:rFonts w:ascii="Arial" w:hAnsi="Arial" w:cs="Arial"/>
          <w:sz w:val="24"/>
          <w:szCs w:val="24"/>
        </w:rPr>
        <w:t xml:space="preserve">. It does not apply to teachers in primary schools. </w:t>
      </w:r>
    </w:p>
    <w:p w:rsidR="008B22BA" w:rsidRPr="004B2313" w:rsidRDefault="008B22BA" w:rsidP="008B22BA">
      <w:pPr>
        <w:pStyle w:val="ListParagraph"/>
        <w:spacing w:after="0" w:line="240" w:lineRule="auto"/>
        <w:ind w:left="284" w:right="-23"/>
        <w:rPr>
          <w:rFonts w:ascii="Arial" w:hAnsi="Arial" w:cs="Arial"/>
          <w:sz w:val="24"/>
          <w:szCs w:val="24"/>
        </w:rPr>
      </w:pPr>
    </w:p>
    <w:p w:rsidR="008B22BA" w:rsidRPr="00710C01" w:rsidRDefault="008B22BA" w:rsidP="008B22BA">
      <w:pPr>
        <w:pStyle w:val="ListParagraph"/>
        <w:numPr>
          <w:ilvl w:val="0"/>
          <w:numId w:val="1"/>
        </w:numPr>
        <w:spacing w:after="0" w:line="240" w:lineRule="auto"/>
        <w:ind w:left="284" w:right="-23" w:hanging="426"/>
        <w:rPr>
          <w:rFonts w:ascii="Arial" w:hAnsi="Arial" w:cs="Arial"/>
          <w:sz w:val="24"/>
          <w:szCs w:val="24"/>
        </w:rPr>
      </w:pPr>
      <w:r>
        <w:rPr>
          <w:rFonts w:ascii="Arial" w:hAnsi="Arial" w:cs="Arial"/>
          <w:sz w:val="24"/>
          <w:szCs w:val="24"/>
        </w:rPr>
        <w:t>F</w:t>
      </w:r>
      <w:r w:rsidRPr="00710C01">
        <w:rPr>
          <w:rFonts w:ascii="Arial" w:hAnsi="Arial" w:cs="Arial"/>
          <w:sz w:val="24"/>
          <w:szCs w:val="24"/>
        </w:rPr>
        <w:t>urther circular</w:t>
      </w:r>
      <w:r>
        <w:rPr>
          <w:rFonts w:ascii="Arial" w:hAnsi="Arial" w:cs="Arial"/>
          <w:sz w:val="24"/>
          <w:szCs w:val="24"/>
        </w:rPr>
        <w:t>s</w:t>
      </w:r>
      <w:r w:rsidRPr="00710C01">
        <w:rPr>
          <w:rFonts w:ascii="Arial" w:hAnsi="Arial" w:cs="Arial"/>
          <w:sz w:val="24"/>
          <w:szCs w:val="24"/>
        </w:rPr>
        <w:t xml:space="preserve"> will issue </w:t>
      </w:r>
      <w:r>
        <w:rPr>
          <w:rFonts w:ascii="Arial" w:hAnsi="Arial" w:cs="Arial"/>
          <w:sz w:val="24"/>
          <w:szCs w:val="24"/>
        </w:rPr>
        <w:t xml:space="preserve">in due course </w:t>
      </w:r>
      <w:r w:rsidRPr="00710C01">
        <w:rPr>
          <w:rFonts w:ascii="Arial" w:hAnsi="Arial" w:cs="Arial"/>
          <w:sz w:val="24"/>
          <w:szCs w:val="24"/>
        </w:rPr>
        <w:t xml:space="preserve">outlining the agreed outcome on any remaining outstanding claims or awards which will be dealt with under the provisions of the Sectoral Bargaining Fund.  </w:t>
      </w:r>
    </w:p>
    <w:p w:rsidR="008B22BA" w:rsidRDefault="008B22BA" w:rsidP="008B22BA">
      <w:pPr>
        <w:ind w:left="284" w:right="-23" w:hanging="426"/>
        <w:rPr>
          <w:rFonts w:ascii="Arial" w:hAnsi="Arial" w:cs="Arial"/>
          <w:b/>
          <w:bCs/>
          <w:iCs/>
          <w:color w:val="004D44"/>
          <w:sz w:val="24"/>
          <w:szCs w:val="24"/>
        </w:rPr>
      </w:pPr>
    </w:p>
    <w:p w:rsidR="008B22BA" w:rsidRPr="00710C01" w:rsidRDefault="008B22BA" w:rsidP="008B22BA">
      <w:pPr>
        <w:ind w:left="284" w:right="-23" w:hanging="426"/>
        <w:rPr>
          <w:rFonts w:ascii="Arial" w:hAnsi="Arial" w:cs="Arial"/>
          <w:b/>
          <w:bCs/>
          <w:iCs/>
          <w:color w:val="004D44"/>
          <w:sz w:val="24"/>
          <w:szCs w:val="24"/>
        </w:rPr>
      </w:pPr>
      <w:r w:rsidRPr="00710C01">
        <w:rPr>
          <w:rFonts w:ascii="Arial" w:hAnsi="Arial" w:cs="Arial"/>
          <w:b/>
          <w:bCs/>
          <w:iCs/>
          <w:color w:val="004D44"/>
          <w:sz w:val="24"/>
          <w:szCs w:val="24"/>
        </w:rPr>
        <w:t xml:space="preserve">Changes to </w:t>
      </w:r>
      <w:r>
        <w:rPr>
          <w:rFonts w:ascii="Arial" w:hAnsi="Arial" w:cs="Arial"/>
          <w:b/>
          <w:bCs/>
          <w:iCs/>
          <w:color w:val="004D44"/>
          <w:sz w:val="24"/>
          <w:szCs w:val="24"/>
        </w:rPr>
        <w:t>Pay Scale</w:t>
      </w:r>
      <w:r w:rsidRPr="00710C01">
        <w:rPr>
          <w:rFonts w:ascii="Arial" w:hAnsi="Arial" w:cs="Arial"/>
          <w:b/>
          <w:bCs/>
          <w:iCs/>
          <w:color w:val="004D44"/>
          <w:sz w:val="24"/>
          <w:szCs w:val="24"/>
        </w:rPr>
        <w:t xml:space="preserve"> under the Sectoral Bargaining Fund</w:t>
      </w:r>
    </w:p>
    <w:p w:rsidR="008B22BA" w:rsidRDefault="008B22BA" w:rsidP="008B22BA">
      <w:pPr>
        <w:pStyle w:val="ListParagraph"/>
        <w:numPr>
          <w:ilvl w:val="0"/>
          <w:numId w:val="1"/>
        </w:numPr>
        <w:spacing w:after="0" w:line="240" w:lineRule="auto"/>
        <w:ind w:left="284" w:right="-23" w:hanging="426"/>
        <w:rPr>
          <w:rFonts w:ascii="Arial" w:hAnsi="Arial" w:cs="Arial"/>
          <w:sz w:val="24"/>
          <w:szCs w:val="24"/>
        </w:rPr>
      </w:pPr>
      <w:r w:rsidRPr="00710C01">
        <w:rPr>
          <w:rFonts w:ascii="Arial" w:hAnsi="Arial" w:cs="Arial"/>
          <w:sz w:val="24"/>
          <w:szCs w:val="24"/>
        </w:rPr>
        <w:t xml:space="preserve">The change to be implemented, under this circular, is </w:t>
      </w:r>
      <w:r>
        <w:rPr>
          <w:rFonts w:ascii="Arial" w:hAnsi="Arial" w:cs="Arial"/>
          <w:sz w:val="24"/>
          <w:szCs w:val="24"/>
        </w:rPr>
        <w:t xml:space="preserve">the restoration of the </w:t>
      </w:r>
      <w:r w:rsidRPr="00710C01">
        <w:rPr>
          <w:rFonts w:ascii="Arial" w:hAnsi="Arial" w:cs="Arial"/>
          <w:sz w:val="24"/>
          <w:szCs w:val="24"/>
        </w:rPr>
        <w:t xml:space="preserve">Professional Master </w:t>
      </w:r>
      <w:r>
        <w:rPr>
          <w:rFonts w:ascii="Arial" w:hAnsi="Arial" w:cs="Arial"/>
          <w:sz w:val="24"/>
          <w:szCs w:val="24"/>
        </w:rPr>
        <w:t>of</w:t>
      </w:r>
      <w:r w:rsidRPr="00710C01">
        <w:rPr>
          <w:rFonts w:ascii="Arial" w:hAnsi="Arial" w:cs="Arial"/>
          <w:sz w:val="24"/>
          <w:szCs w:val="24"/>
        </w:rPr>
        <w:t xml:space="preserve"> Education (PME)/</w:t>
      </w:r>
      <w:r>
        <w:rPr>
          <w:rFonts w:ascii="Arial" w:hAnsi="Arial" w:cs="Arial"/>
          <w:sz w:val="24"/>
          <w:szCs w:val="24"/>
        </w:rPr>
        <w:t>Higher Diploma in Education</w:t>
      </w:r>
      <w:r w:rsidRPr="00710C01">
        <w:rPr>
          <w:rFonts w:ascii="Arial" w:hAnsi="Arial" w:cs="Arial"/>
          <w:sz w:val="24"/>
          <w:szCs w:val="24"/>
        </w:rPr>
        <w:t xml:space="preserve"> Allowance</w:t>
      </w:r>
      <w:r>
        <w:rPr>
          <w:rFonts w:ascii="Arial" w:hAnsi="Arial" w:cs="Arial"/>
          <w:sz w:val="24"/>
          <w:szCs w:val="24"/>
        </w:rPr>
        <w:t xml:space="preserve"> (H. Dip in Ed) with effect from 1</w:t>
      </w:r>
      <w:r w:rsidRPr="004B6315">
        <w:rPr>
          <w:rFonts w:ascii="Arial" w:hAnsi="Arial" w:cs="Arial"/>
          <w:sz w:val="24"/>
          <w:szCs w:val="24"/>
          <w:vertAlign w:val="superscript"/>
        </w:rPr>
        <w:t>st</w:t>
      </w:r>
      <w:r>
        <w:rPr>
          <w:rFonts w:ascii="Arial" w:hAnsi="Arial" w:cs="Arial"/>
          <w:sz w:val="24"/>
          <w:szCs w:val="24"/>
        </w:rPr>
        <w:t xml:space="preserve"> February 2022. </w:t>
      </w:r>
    </w:p>
    <w:p w:rsidR="008B22BA" w:rsidRPr="004B6315" w:rsidRDefault="008B22BA" w:rsidP="008B22BA">
      <w:pPr>
        <w:spacing w:after="0" w:line="240" w:lineRule="auto"/>
        <w:ind w:left="284" w:right="-23" w:hanging="426"/>
        <w:rPr>
          <w:rFonts w:ascii="Arial" w:hAnsi="Arial" w:cs="Arial"/>
          <w:sz w:val="24"/>
          <w:szCs w:val="24"/>
        </w:rPr>
      </w:pPr>
    </w:p>
    <w:p w:rsidR="008B22BA" w:rsidRPr="00DF722F" w:rsidRDefault="008B22BA" w:rsidP="008B22BA">
      <w:pPr>
        <w:pStyle w:val="ListParagraph"/>
        <w:numPr>
          <w:ilvl w:val="0"/>
          <w:numId w:val="1"/>
        </w:numPr>
        <w:spacing w:after="0" w:line="240" w:lineRule="auto"/>
        <w:ind w:left="284" w:right="-23" w:hanging="426"/>
        <w:rPr>
          <w:rFonts w:ascii="Arial" w:hAnsi="Arial" w:cs="Arial"/>
          <w:sz w:val="24"/>
          <w:szCs w:val="24"/>
        </w:rPr>
      </w:pPr>
      <w:r w:rsidRPr="00DF722F">
        <w:rPr>
          <w:rFonts w:ascii="Arial" w:hAnsi="Arial" w:cs="Arial"/>
          <w:sz w:val="24"/>
          <w:szCs w:val="24"/>
        </w:rPr>
        <w:lastRenderedPageBreak/>
        <w:t>For appropriately qualified and registered Route 2 and appropriately qualified Route 3 post primary teachers teaching in post primary schools</w:t>
      </w:r>
      <w:r>
        <w:rPr>
          <w:rFonts w:ascii="Arial" w:hAnsi="Arial" w:cs="Arial"/>
          <w:sz w:val="24"/>
          <w:szCs w:val="24"/>
        </w:rPr>
        <w:t>,</w:t>
      </w:r>
      <w:r w:rsidRPr="00DF722F">
        <w:rPr>
          <w:rFonts w:ascii="Arial" w:hAnsi="Arial" w:cs="Arial"/>
          <w:sz w:val="24"/>
          <w:szCs w:val="24"/>
        </w:rPr>
        <w:t xml:space="preserve"> further education or in other approved settings who entered teaching on or after the 1 January 2011 </w:t>
      </w:r>
      <w:r w:rsidRPr="00E61991">
        <w:rPr>
          <w:rFonts w:ascii="Arial" w:hAnsi="Arial" w:cs="Arial"/>
          <w:sz w:val="24"/>
          <w:szCs w:val="24"/>
          <w:u w:val="single"/>
        </w:rPr>
        <w:t>and</w:t>
      </w:r>
      <w:r w:rsidRPr="00DF722F">
        <w:rPr>
          <w:rFonts w:ascii="Arial" w:hAnsi="Arial" w:cs="Arial"/>
          <w:sz w:val="24"/>
          <w:szCs w:val="24"/>
        </w:rPr>
        <w:t xml:space="preserve"> who are paid on the new entrant pay scale (post-</w:t>
      </w:r>
      <w:r>
        <w:rPr>
          <w:rFonts w:ascii="Arial" w:hAnsi="Arial" w:cs="Arial"/>
          <w:sz w:val="24"/>
          <w:szCs w:val="24"/>
        </w:rPr>
        <w:t xml:space="preserve">1 Jan </w:t>
      </w:r>
      <w:r w:rsidRPr="00DF722F">
        <w:rPr>
          <w:rFonts w:ascii="Arial" w:hAnsi="Arial" w:cs="Arial"/>
          <w:sz w:val="24"/>
          <w:szCs w:val="24"/>
        </w:rPr>
        <w:t>2011)</w:t>
      </w:r>
      <w:r>
        <w:rPr>
          <w:rFonts w:ascii="Arial" w:hAnsi="Arial" w:cs="Arial"/>
          <w:sz w:val="24"/>
          <w:szCs w:val="24"/>
        </w:rPr>
        <w:t xml:space="preserve">, </w:t>
      </w:r>
      <w:r w:rsidRPr="00DF722F">
        <w:rPr>
          <w:rFonts w:ascii="Arial" w:hAnsi="Arial" w:cs="Arial"/>
          <w:sz w:val="24"/>
          <w:szCs w:val="24"/>
        </w:rPr>
        <w:t xml:space="preserve">a revised pay scale will apply inclusive of the value of the </w:t>
      </w:r>
      <w:r>
        <w:rPr>
          <w:rFonts w:ascii="Arial" w:hAnsi="Arial" w:cs="Arial"/>
          <w:sz w:val="24"/>
          <w:szCs w:val="24"/>
        </w:rPr>
        <w:t>PME/</w:t>
      </w:r>
      <w:r w:rsidRPr="00DF722F">
        <w:rPr>
          <w:rFonts w:ascii="Arial" w:hAnsi="Arial" w:cs="Arial"/>
          <w:sz w:val="24"/>
          <w:szCs w:val="24"/>
        </w:rPr>
        <w:t xml:space="preserve">H. Dip. </w:t>
      </w:r>
      <w:proofErr w:type="gramStart"/>
      <w:r w:rsidRPr="00DF722F">
        <w:rPr>
          <w:rFonts w:ascii="Arial" w:hAnsi="Arial" w:cs="Arial"/>
          <w:sz w:val="24"/>
          <w:szCs w:val="24"/>
        </w:rPr>
        <w:t>in</w:t>
      </w:r>
      <w:proofErr w:type="gramEnd"/>
      <w:r w:rsidRPr="00DF722F">
        <w:rPr>
          <w:rFonts w:ascii="Arial" w:hAnsi="Arial" w:cs="Arial"/>
          <w:sz w:val="24"/>
          <w:szCs w:val="24"/>
        </w:rPr>
        <w:t xml:space="preserve"> Ed.</w:t>
      </w:r>
      <w:r>
        <w:rPr>
          <w:rFonts w:ascii="Arial" w:hAnsi="Arial" w:cs="Arial"/>
          <w:sz w:val="24"/>
          <w:szCs w:val="24"/>
        </w:rPr>
        <w:t xml:space="preserve"> allowance</w:t>
      </w:r>
      <w:r w:rsidRPr="00DF722F">
        <w:rPr>
          <w:rFonts w:ascii="Arial" w:hAnsi="Arial" w:cs="Arial"/>
          <w:sz w:val="24"/>
          <w:szCs w:val="24"/>
        </w:rPr>
        <w:t xml:space="preserve"> (1st or 2nd Honours) with effect from 1</w:t>
      </w:r>
      <w:r w:rsidRPr="00DF722F">
        <w:rPr>
          <w:rFonts w:ascii="Arial" w:hAnsi="Arial" w:cs="Arial"/>
          <w:sz w:val="24"/>
          <w:szCs w:val="24"/>
          <w:vertAlign w:val="superscript"/>
        </w:rPr>
        <w:t>st</w:t>
      </w:r>
      <w:r w:rsidRPr="00DF722F">
        <w:rPr>
          <w:rFonts w:ascii="Arial" w:hAnsi="Arial" w:cs="Arial"/>
          <w:sz w:val="24"/>
          <w:szCs w:val="24"/>
        </w:rPr>
        <w:t xml:space="preserve"> February 2022. </w:t>
      </w:r>
    </w:p>
    <w:p w:rsidR="008B22BA" w:rsidRDefault="008B22BA" w:rsidP="008B22BA">
      <w:pPr>
        <w:pStyle w:val="ListParagraph"/>
        <w:spacing w:after="0" w:line="240" w:lineRule="auto"/>
        <w:ind w:left="284" w:right="-23" w:hanging="426"/>
        <w:rPr>
          <w:rFonts w:ascii="Arial" w:hAnsi="Arial" w:cs="Arial"/>
          <w:sz w:val="24"/>
          <w:szCs w:val="24"/>
        </w:rPr>
      </w:pPr>
    </w:p>
    <w:p w:rsidR="008B22BA" w:rsidRDefault="008B22BA" w:rsidP="008B22BA">
      <w:pPr>
        <w:pStyle w:val="ListParagraph"/>
        <w:numPr>
          <w:ilvl w:val="0"/>
          <w:numId w:val="1"/>
        </w:numPr>
        <w:spacing w:after="0" w:line="240" w:lineRule="auto"/>
        <w:ind w:left="284" w:right="-23" w:hanging="426"/>
        <w:rPr>
          <w:rFonts w:ascii="Arial" w:hAnsi="Arial" w:cs="Arial"/>
          <w:sz w:val="24"/>
          <w:szCs w:val="24"/>
        </w:rPr>
      </w:pPr>
      <w:r>
        <w:rPr>
          <w:rFonts w:ascii="Arial" w:hAnsi="Arial" w:cs="Arial"/>
          <w:sz w:val="24"/>
          <w:szCs w:val="24"/>
        </w:rPr>
        <w:t xml:space="preserve">The revised new entrant salary scale will be increased to include the value of the PME/Honours </w:t>
      </w:r>
      <w:proofErr w:type="spellStart"/>
      <w:r>
        <w:rPr>
          <w:rFonts w:ascii="Arial" w:hAnsi="Arial" w:cs="Arial"/>
          <w:sz w:val="24"/>
          <w:szCs w:val="24"/>
        </w:rPr>
        <w:t>H.Dip</w:t>
      </w:r>
      <w:proofErr w:type="spellEnd"/>
      <w:r>
        <w:rPr>
          <w:rFonts w:ascii="Arial" w:hAnsi="Arial" w:cs="Arial"/>
          <w:sz w:val="24"/>
          <w:szCs w:val="24"/>
        </w:rPr>
        <w:t xml:space="preserve"> in Education Allowance (€1,314) on each point of the scale as set out at Appendix 1 below. </w:t>
      </w:r>
    </w:p>
    <w:p w:rsidR="008B22BA" w:rsidRPr="00DF722F" w:rsidRDefault="008B22BA" w:rsidP="008B22BA">
      <w:pPr>
        <w:pStyle w:val="ListParagraph"/>
        <w:rPr>
          <w:rFonts w:ascii="Arial" w:hAnsi="Arial" w:cs="Arial"/>
          <w:sz w:val="24"/>
          <w:szCs w:val="24"/>
        </w:rPr>
      </w:pPr>
    </w:p>
    <w:p w:rsidR="008B22BA" w:rsidRDefault="008B22BA" w:rsidP="008B22BA">
      <w:pPr>
        <w:pStyle w:val="ListParagraph"/>
        <w:numPr>
          <w:ilvl w:val="0"/>
          <w:numId w:val="1"/>
        </w:numPr>
        <w:spacing w:after="0" w:line="240" w:lineRule="auto"/>
        <w:ind w:left="284" w:right="-23" w:hanging="426"/>
        <w:rPr>
          <w:rFonts w:ascii="Arial" w:hAnsi="Arial" w:cs="Arial"/>
          <w:sz w:val="24"/>
          <w:szCs w:val="24"/>
        </w:rPr>
      </w:pPr>
      <w:r>
        <w:rPr>
          <w:rFonts w:ascii="Arial" w:hAnsi="Arial" w:cs="Arial"/>
          <w:sz w:val="24"/>
          <w:szCs w:val="24"/>
        </w:rPr>
        <w:t xml:space="preserve">This change will apply </w:t>
      </w:r>
      <w:r w:rsidRPr="00710C01">
        <w:rPr>
          <w:rFonts w:ascii="Arial" w:hAnsi="Arial" w:cs="Arial"/>
          <w:sz w:val="24"/>
          <w:szCs w:val="24"/>
        </w:rPr>
        <w:t>to all Route 2</w:t>
      </w:r>
      <w:r>
        <w:rPr>
          <w:rFonts w:ascii="Arial" w:hAnsi="Arial" w:cs="Arial"/>
          <w:sz w:val="24"/>
          <w:szCs w:val="24"/>
        </w:rPr>
        <w:t xml:space="preserve"> and Route 3 </w:t>
      </w:r>
      <w:r w:rsidRPr="00710C01">
        <w:rPr>
          <w:rFonts w:ascii="Arial" w:hAnsi="Arial" w:cs="Arial"/>
          <w:sz w:val="24"/>
          <w:szCs w:val="24"/>
        </w:rPr>
        <w:t xml:space="preserve">appropriately qualified and registered post primary teachers </w:t>
      </w:r>
      <w:r>
        <w:rPr>
          <w:rFonts w:ascii="Arial" w:hAnsi="Arial" w:cs="Arial"/>
          <w:sz w:val="24"/>
          <w:szCs w:val="24"/>
        </w:rPr>
        <w:t>teaching</w:t>
      </w:r>
      <w:r w:rsidRPr="00710C01">
        <w:rPr>
          <w:rFonts w:ascii="Arial" w:hAnsi="Arial" w:cs="Arial"/>
          <w:sz w:val="24"/>
          <w:szCs w:val="24"/>
        </w:rPr>
        <w:t xml:space="preserve"> in post primary schools or in </w:t>
      </w:r>
      <w:r>
        <w:rPr>
          <w:rFonts w:ascii="Arial" w:hAnsi="Arial" w:cs="Arial"/>
          <w:sz w:val="24"/>
          <w:szCs w:val="24"/>
        </w:rPr>
        <w:t xml:space="preserve">other </w:t>
      </w:r>
      <w:r w:rsidRPr="00710C01">
        <w:rPr>
          <w:rFonts w:ascii="Arial" w:hAnsi="Arial" w:cs="Arial"/>
          <w:sz w:val="24"/>
          <w:szCs w:val="24"/>
        </w:rPr>
        <w:t>approved settings</w:t>
      </w:r>
      <w:r>
        <w:rPr>
          <w:rFonts w:ascii="Arial" w:hAnsi="Arial" w:cs="Arial"/>
          <w:sz w:val="24"/>
          <w:szCs w:val="24"/>
        </w:rPr>
        <w:t xml:space="preserve"> including Further Education settings (VTOS, BTEI, PLC </w:t>
      </w:r>
      <w:proofErr w:type="spellStart"/>
      <w:r>
        <w:rPr>
          <w:rFonts w:ascii="Arial" w:hAnsi="Arial" w:cs="Arial"/>
          <w:sz w:val="24"/>
          <w:szCs w:val="24"/>
        </w:rPr>
        <w:t>etc</w:t>
      </w:r>
      <w:proofErr w:type="spellEnd"/>
      <w:r>
        <w:rPr>
          <w:rFonts w:ascii="Arial" w:hAnsi="Arial" w:cs="Arial"/>
          <w:sz w:val="24"/>
          <w:szCs w:val="24"/>
        </w:rPr>
        <w:t>), Centres of Education and Special Schools with a Post Primary component and who are currently on the new entrant pay scale</w:t>
      </w:r>
    </w:p>
    <w:p w:rsidR="008B22BA" w:rsidRPr="00D67C70" w:rsidRDefault="008B22BA" w:rsidP="008B22BA">
      <w:pPr>
        <w:pStyle w:val="ListParagraph"/>
        <w:ind w:left="284" w:right="-23" w:hanging="426"/>
        <w:rPr>
          <w:rFonts w:ascii="Arial" w:hAnsi="Arial" w:cs="Arial"/>
          <w:sz w:val="24"/>
          <w:szCs w:val="24"/>
        </w:rPr>
      </w:pPr>
    </w:p>
    <w:p w:rsidR="008B22BA" w:rsidRPr="00710C01" w:rsidRDefault="008B22BA" w:rsidP="008B22BA">
      <w:pPr>
        <w:pStyle w:val="ListParagraph"/>
        <w:numPr>
          <w:ilvl w:val="0"/>
          <w:numId w:val="1"/>
        </w:numPr>
        <w:spacing w:after="0" w:line="240" w:lineRule="auto"/>
        <w:ind w:left="284" w:right="-23" w:hanging="426"/>
        <w:rPr>
          <w:rFonts w:ascii="Arial" w:hAnsi="Arial" w:cs="Arial"/>
          <w:sz w:val="24"/>
          <w:szCs w:val="24"/>
        </w:rPr>
      </w:pPr>
      <w:r w:rsidRPr="00710C01">
        <w:rPr>
          <w:rFonts w:ascii="Arial" w:hAnsi="Arial" w:cs="Arial"/>
          <w:sz w:val="24"/>
          <w:szCs w:val="24"/>
        </w:rPr>
        <w:t>Th</w:t>
      </w:r>
      <w:r>
        <w:rPr>
          <w:rFonts w:ascii="Arial" w:hAnsi="Arial" w:cs="Arial"/>
          <w:sz w:val="24"/>
          <w:szCs w:val="24"/>
        </w:rPr>
        <w:t xml:space="preserve">e increase </w:t>
      </w:r>
      <w:r w:rsidRPr="00710C01">
        <w:rPr>
          <w:rFonts w:ascii="Arial" w:hAnsi="Arial" w:cs="Arial"/>
          <w:sz w:val="24"/>
          <w:szCs w:val="24"/>
        </w:rPr>
        <w:t xml:space="preserve">will be applied directly by the payroll operators and will not require an application process.  </w:t>
      </w:r>
    </w:p>
    <w:p w:rsidR="008B22BA" w:rsidRDefault="008B22BA" w:rsidP="008B22BA">
      <w:pPr>
        <w:pStyle w:val="ListParagraph"/>
        <w:spacing w:after="0" w:line="240" w:lineRule="auto"/>
        <w:ind w:left="284" w:right="-23" w:hanging="426"/>
        <w:rPr>
          <w:rFonts w:ascii="Arial" w:hAnsi="Arial" w:cs="Arial"/>
          <w:sz w:val="24"/>
          <w:szCs w:val="24"/>
        </w:rPr>
      </w:pPr>
    </w:p>
    <w:p w:rsidR="008B22BA" w:rsidRPr="00710C01" w:rsidRDefault="008B22BA" w:rsidP="008B22BA">
      <w:pPr>
        <w:pStyle w:val="ListParagraph"/>
        <w:numPr>
          <w:ilvl w:val="0"/>
          <w:numId w:val="1"/>
        </w:numPr>
        <w:spacing w:after="0" w:line="240" w:lineRule="auto"/>
        <w:ind w:left="284" w:right="-23" w:hanging="426"/>
        <w:rPr>
          <w:rFonts w:ascii="Arial" w:hAnsi="Arial" w:cs="Arial"/>
          <w:sz w:val="24"/>
          <w:szCs w:val="24"/>
        </w:rPr>
      </w:pPr>
      <w:r w:rsidRPr="00710C01">
        <w:rPr>
          <w:rFonts w:ascii="Arial" w:hAnsi="Arial" w:cs="Arial"/>
          <w:sz w:val="24"/>
          <w:szCs w:val="24"/>
        </w:rPr>
        <w:t>The payroll adjustments necessitated by this Circular will be implemented at the earliest possible date with retrospective effect to 1 February 2022 (or date of appointment, if later</w:t>
      </w:r>
      <w:r>
        <w:rPr>
          <w:rFonts w:ascii="Arial" w:hAnsi="Arial" w:cs="Arial"/>
          <w:sz w:val="24"/>
          <w:szCs w:val="24"/>
        </w:rPr>
        <w:t>)</w:t>
      </w:r>
      <w:r w:rsidRPr="00710C01">
        <w:rPr>
          <w:rFonts w:ascii="Arial" w:hAnsi="Arial" w:cs="Arial"/>
          <w:sz w:val="24"/>
          <w:szCs w:val="24"/>
        </w:rPr>
        <w:t>.</w:t>
      </w:r>
    </w:p>
    <w:p w:rsidR="008B22BA" w:rsidRPr="00F1432E" w:rsidRDefault="008B22BA" w:rsidP="008B22BA">
      <w:pPr>
        <w:pStyle w:val="ListParagraph"/>
        <w:ind w:left="284" w:right="-23" w:hanging="426"/>
        <w:rPr>
          <w:rFonts w:ascii="Arial" w:hAnsi="Arial" w:cs="Arial"/>
          <w:sz w:val="24"/>
          <w:szCs w:val="24"/>
        </w:rPr>
      </w:pPr>
    </w:p>
    <w:p w:rsidR="008B22BA" w:rsidRPr="00710C01" w:rsidRDefault="008B22BA" w:rsidP="008B22BA">
      <w:pPr>
        <w:pStyle w:val="ListParagraph"/>
        <w:numPr>
          <w:ilvl w:val="0"/>
          <w:numId w:val="1"/>
        </w:numPr>
        <w:spacing w:after="0" w:line="240" w:lineRule="auto"/>
        <w:ind w:left="284" w:right="-23" w:hanging="426"/>
        <w:rPr>
          <w:rFonts w:ascii="Arial" w:hAnsi="Arial" w:cs="Arial"/>
          <w:sz w:val="24"/>
          <w:szCs w:val="24"/>
        </w:rPr>
      </w:pPr>
      <w:r w:rsidRPr="00710C01">
        <w:rPr>
          <w:rFonts w:ascii="Arial" w:hAnsi="Arial" w:cs="Arial"/>
          <w:sz w:val="24"/>
          <w:szCs w:val="24"/>
        </w:rPr>
        <w:t>For the avoidance of doubt, the current salary scales</w:t>
      </w:r>
      <w:r>
        <w:rPr>
          <w:rFonts w:ascii="Arial" w:hAnsi="Arial" w:cs="Arial"/>
          <w:sz w:val="24"/>
          <w:szCs w:val="24"/>
        </w:rPr>
        <w:t xml:space="preserve"> for teachers (other than for new entrant post primary teachers as per 9 above)</w:t>
      </w:r>
      <w:r w:rsidRPr="00710C01">
        <w:rPr>
          <w:rFonts w:ascii="Arial" w:hAnsi="Arial" w:cs="Arial"/>
          <w:sz w:val="24"/>
          <w:szCs w:val="24"/>
        </w:rPr>
        <w:t xml:space="preserve">, allowances for primary teachers and the part-time rates for post primary teachers set out in </w:t>
      </w:r>
      <w:hyperlink r:id="rId8" w:history="1">
        <w:r w:rsidRPr="00710C01">
          <w:rPr>
            <w:rStyle w:val="Hyperlink"/>
            <w:rFonts w:ascii="Arial" w:hAnsi="Arial" w:cs="Arial"/>
            <w:sz w:val="24"/>
            <w:szCs w:val="24"/>
          </w:rPr>
          <w:t>Circular 0056/2021</w:t>
        </w:r>
      </w:hyperlink>
      <w:r w:rsidRPr="00710C01">
        <w:rPr>
          <w:rFonts w:ascii="Arial" w:hAnsi="Arial" w:cs="Arial"/>
          <w:sz w:val="24"/>
          <w:szCs w:val="24"/>
        </w:rPr>
        <w:t xml:space="preserve"> continue to apply with effect from 1 October 2021 and are not altered by the terms of this Circular.</w:t>
      </w:r>
      <w:r>
        <w:rPr>
          <w:rFonts w:ascii="Arial" w:hAnsi="Arial" w:cs="Arial"/>
          <w:sz w:val="24"/>
          <w:szCs w:val="24"/>
        </w:rPr>
        <w:t xml:space="preserve"> As a result there will now be separate pay scales for new entrant post-primary teachers and new entrant primary teachers as set out below in Appendices 1 and 2 respectively. </w:t>
      </w:r>
    </w:p>
    <w:p w:rsidR="008B22BA" w:rsidRDefault="008B22BA" w:rsidP="008B22BA">
      <w:pPr>
        <w:pStyle w:val="ListParagraph"/>
        <w:spacing w:after="0" w:line="240" w:lineRule="auto"/>
        <w:ind w:left="284" w:right="-23" w:hanging="426"/>
        <w:rPr>
          <w:rFonts w:ascii="Arial" w:hAnsi="Arial" w:cs="Arial"/>
          <w:sz w:val="24"/>
          <w:szCs w:val="24"/>
          <w:highlight w:val="yellow"/>
        </w:rPr>
      </w:pPr>
    </w:p>
    <w:p w:rsidR="008B22BA" w:rsidRPr="00710C01" w:rsidRDefault="008B22BA" w:rsidP="008B22BA">
      <w:pPr>
        <w:ind w:left="284" w:right="-23" w:hanging="426"/>
        <w:rPr>
          <w:rFonts w:ascii="Arial" w:hAnsi="Arial" w:cs="Arial"/>
          <w:b/>
          <w:bCs/>
          <w:iCs/>
          <w:color w:val="004D44"/>
          <w:sz w:val="24"/>
          <w:szCs w:val="24"/>
        </w:rPr>
      </w:pPr>
      <w:r>
        <w:rPr>
          <w:rFonts w:ascii="Arial" w:hAnsi="Arial" w:cs="Arial"/>
          <w:b/>
          <w:bCs/>
          <w:iCs/>
          <w:color w:val="004D44"/>
          <w:sz w:val="24"/>
          <w:szCs w:val="24"/>
        </w:rPr>
        <w:t xml:space="preserve">Other Consequential </w:t>
      </w:r>
      <w:r w:rsidRPr="00710C01">
        <w:rPr>
          <w:rFonts w:ascii="Arial" w:hAnsi="Arial" w:cs="Arial"/>
          <w:b/>
          <w:bCs/>
          <w:iCs/>
          <w:color w:val="004D44"/>
          <w:sz w:val="24"/>
          <w:szCs w:val="24"/>
        </w:rPr>
        <w:t xml:space="preserve">Changes </w:t>
      </w:r>
      <w:r>
        <w:rPr>
          <w:rFonts w:ascii="Arial" w:hAnsi="Arial" w:cs="Arial"/>
          <w:b/>
          <w:bCs/>
          <w:iCs/>
          <w:color w:val="004D44"/>
          <w:sz w:val="24"/>
          <w:szCs w:val="24"/>
        </w:rPr>
        <w:t>as part of Implementation</w:t>
      </w:r>
    </w:p>
    <w:p w:rsidR="008B22BA" w:rsidRDefault="008B22BA" w:rsidP="008B22BA">
      <w:pPr>
        <w:pStyle w:val="ListParagraph"/>
        <w:numPr>
          <w:ilvl w:val="0"/>
          <w:numId w:val="1"/>
        </w:numPr>
        <w:spacing w:after="0" w:line="240" w:lineRule="auto"/>
        <w:ind w:left="284" w:right="-23" w:hanging="426"/>
        <w:rPr>
          <w:rFonts w:ascii="Arial" w:hAnsi="Arial" w:cs="Arial"/>
          <w:sz w:val="24"/>
          <w:szCs w:val="24"/>
        </w:rPr>
      </w:pPr>
      <w:r>
        <w:rPr>
          <w:rFonts w:ascii="Arial" w:hAnsi="Arial" w:cs="Arial"/>
          <w:sz w:val="24"/>
          <w:szCs w:val="24"/>
        </w:rPr>
        <w:t xml:space="preserve">There are a number of new entrant post primary teachers who entered teaching between 1 January 2011 and 31 January 2012 who are already in receipt of the existing </w:t>
      </w:r>
      <w:r w:rsidRPr="00C62398">
        <w:rPr>
          <w:rFonts w:ascii="Arial" w:hAnsi="Arial" w:cs="Arial"/>
          <w:sz w:val="24"/>
          <w:szCs w:val="24"/>
        </w:rPr>
        <w:t>Professional Master of Education (PME)/Higher Diploma in Education Allowance (H. Dip in Ed</w:t>
      </w:r>
      <w:r>
        <w:rPr>
          <w:rFonts w:ascii="Arial" w:hAnsi="Arial" w:cs="Arial"/>
          <w:sz w:val="24"/>
          <w:szCs w:val="24"/>
        </w:rPr>
        <w:t xml:space="preserve"> in addition to salary. As there can be no duplication in the payment of this allowance, and as this allowance is now incorporated into the pay scale with effect from 1 February 2022, the increased pay scale </w:t>
      </w:r>
      <w:r w:rsidR="00DE42B6">
        <w:rPr>
          <w:rFonts w:ascii="Arial" w:hAnsi="Arial" w:cs="Arial"/>
          <w:sz w:val="24"/>
          <w:szCs w:val="24"/>
        </w:rPr>
        <w:t>will</w:t>
      </w:r>
      <w:r>
        <w:rPr>
          <w:rFonts w:ascii="Arial" w:hAnsi="Arial" w:cs="Arial"/>
          <w:sz w:val="24"/>
          <w:szCs w:val="24"/>
        </w:rPr>
        <w:t xml:space="preserve"> </w:t>
      </w:r>
      <w:r w:rsidR="00DE42B6">
        <w:rPr>
          <w:rFonts w:ascii="Arial" w:hAnsi="Arial" w:cs="Arial"/>
          <w:sz w:val="24"/>
          <w:szCs w:val="24"/>
        </w:rPr>
        <w:t>be applied</w:t>
      </w:r>
      <w:r>
        <w:rPr>
          <w:rFonts w:ascii="Arial" w:hAnsi="Arial" w:cs="Arial"/>
          <w:sz w:val="24"/>
          <w:szCs w:val="24"/>
        </w:rPr>
        <w:t xml:space="preserve"> and the allowance discontinued for these teachers from 1 February 2022. </w:t>
      </w:r>
    </w:p>
    <w:p w:rsidR="008B22BA" w:rsidRDefault="008B22BA" w:rsidP="008B22BA">
      <w:pPr>
        <w:pStyle w:val="ListParagraph"/>
        <w:spacing w:after="0" w:line="240" w:lineRule="auto"/>
        <w:ind w:left="284" w:right="-23"/>
        <w:rPr>
          <w:rFonts w:ascii="Arial" w:hAnsi="Arial" w:cs="Arial"/>
          <w:sz w:val="24"/>
          <w:szCs w:val="24"/>
        </w:rPr>
      </w:pPr>
    </w:p>
    <w:p w:rsidR="008B22BA" w:rsidRPr="00710C01" w:rsidRDefault="008B22BA" w:rsidP="008B22BA">
      <w:pPr>
        <w:pStyle w:val="ListParagraph"/>
        <w:numPr>
          <w:ilvl w:val="0"/>
          <w:numId w:val="1"/>
        </w:numPr>
        <w:spacing w:after="0" w:line="240" w:lineRule="auto"/>
        <w:ind w:left="284" w:right="-23" w:hanging="426"/>
        <w:rPr>
          <w:rFonts w:ascii="Arial" w:hAnsi="Arial" w:cs="Arial"/>
          <w:sz w:val="24"/>
          <w:szCs w:val="24"/>
        </w:rPr>
      </w:pPr>
      <w:r>
        <w:rPr>
          <w:rFonts w:ascii="Arial" w:hAnsi="Arial" w:cs="Arial"/>
          <w:sz w:val="24"/>
          <w:szCs w:val="24"/>
        </w:rPr>
        <w:t>There are also a small number of teachers who entered employment after the discontinuation of the PME/</w:t>
      </w:r>
      <w:proofErr w:type="spellStart"/>
      <w:r>
        <w:rPr>
          <w:rFonts w:ascii="Arial" w:hAnsi="Arial" w:cs="Arial"/>
          <w:sz w:val="24"/>
          <w:szCs w:val="24"/>
        </w:rPr>
        <w:t>H.Dip</w:t>
      </w:r>
      <w:proofErr w:type="spellEnd"/>
      <w:r>
        <w:rPr>
          <w:rFonts w:ascii="Arial" w:hAnsi="Arial" w:cs="Arial"/>
          <w:sz w:val="24"/>
          <w:szCs w:val="24"/>
        </w:rPr>
        <w:t xml:space="preserve"> in Ed allowance on 1 February 2012 but who were appointed to the </w:t>
      </w:r>
      <w:r w:rsidR="00DF5F63">
        <w:rPr>
          <w:rFonts w:ascii="Arial" w:hAnsi="Arial" w:cs="Arial"/>
          <w:sz w:val="24"/>
          <w:szCs w:val="24"/>
        </w:rPr>
        <w:t>existing</w:t>
      </w:r>
      <w:r>
        <w:rPr>
          <w:rFonts w:ascii="Arial" w:hAnsi="Arial" w:cs="Arial"/>
          <w:sz w:val="24"/>
          <w:szCs w:val="24"/>
        </w:rPr>
        <w:t xml:space="preserve"> pre-2011 pay scale. It is the intention that these teachers will be allowed to apply for the existing allowance and this process will be agreed and finalised with unions as soon as possible. A separate circular will issue in due course.</w:t>
      </w:r>
    </w:p>
    <w:p w:rsidR="008B22BA" w:rsidRPr="00E61991" w:rsidRDefault="008B22BA" w:rsidP="008B22BA">
      <w:pPr>
        <w:pStyle w:val="ListParagraph"/>
        <w:spacing w:after="0" w:line="240" w:lineRule="auto"/>
        <w:ind w:left="284" w:right="-23"/>
        <w:rPr>
          <w:rFonts w:ascii="Arial" w:hAnsi="Arial" w:cs="Arial"/>
          <w:sz w:val="24"/>
          <w:szCs w:val="24"/>
        </w:rPr>
      </w:pPr>
    </w:p>
    <w:p w:rsidR="008B22BA" w:rsidRPr="00E61991" w:rsidRDefault="008B22BA" w:rsidP="008B22BA">
      <w:pPr>
        <w:pStyle w:val="ListParagraph"/>
        <w:spacing w:after="0" w:line="240" w:lineRule="auto"/>
        <w:ind w:left="284" w:right="-23"/>
        <w:rPr>
          <w:rFonts w:ascii="Arial" w:hAnsi="Arial" w:cs="Arial"/>
          <w:sz w:val="24"/>
          <w:szCs w:val="24"/>
        </w:rPr>
      </w:pPr>
    </w:p>
    <w:p w:rsidR="008B22BA" w:rsidRPr="00710C01" w:rsidRDefault="008B22BA" w:rsidP="008B22BA">
      <w:pPr>
        <w:ind w:left="284" w:right="-23" w:hanging="426"/>
        <w:rPr>
          <w:rFonts w:ascii="Arial" w:hAnsi="Arial" w:cs="Arial"/>
          <w:b/>
          <w:bCs/>
          <w:iCs/>
          <w:color w:val="004D44"/>
          <w:sz w:val="24"/>
          <w:szCs w:val="24"/>
        </w:rPr>
      </w:pPr>
      <w:r w:rsidRPr="00710C01">
        <w:rPr>
          <w:rFonts w:ascii="Arial" w:hAnsi="Arial" w:cs="Arial"/>
          <w:b/>
          <w:bCs/>
          <w:iCs/>
          <w:color w:val="004D44"/>
          <w:sz w:val="24"/>
          <w:szCs w:val="24"/>
        </w:rPr>
        <w:lastRenderedPageBreak/>
        <w:t>Circulation and Queries</w:t>
      </w:r>
    </w:p>
    <w:p w:rsidR="008B22BA" w:rsidRPr="00710C01" w:rsidRDefault="008B22BA" w:rsidP="008B22BA">
      <w:pPr>
        <w:pStyle w:val="ListParagraph"/>
        <w:numPr>
          <w:ilvl w:val="0"/>
          <w:numId w:val="1"/>
        </w:numPr>
        <w:spacing w:after="0" w:line="240" w:lineRule="auto"/>
        <w:ind w:left="284" w:right="-23" w:hanging="426"/>
        <w:rPr>
          <w:rFonts w:ascii="Arial" w:hAnsi="Arial" w:cs="Arial"/>
          <w:sz w:val="24"/>
          <w:szCs w:val="24"/>
        </w:rPr>
      </w:pPr>
      <w:r w:rsidRPr="00710C01">
        <w:rPr>
          <w:rFonts w:ascii="Arial" w:hAnsi="Arial" w:cs="Arial"/>
          <w:sz w:val="24"/>
          <w:szCs w:val="24"/>
        </w:rPr>
        <w:t>Please ensure that copies of this Circular are provided to all members of the Board of Management/ Education and Training Board and its contents are brought to the attention of all teachers in your employment including those on leave of absence.</w:t>
      </w:r>
    </w:p>
    <w:p w:rsidR="008B22BA" w:rsidRPr="00710C01" w:rsidRDefault="008B22BA" w:rsidP="008B22BA">
      <w:pPr>
        <w:pStyle w:val="ListParagraph"/>
        <w:spacing w:after="0" w:line="240" w:lineRule="auto"/>
        <w:ind w:left="284" w:right="-23" w:hanging="426"/>
        <w:rPr>
          <w:rFonts w:ascii="Arial" w:hAnsi="Arial" w:cs="Arial"/>
          <w:sz w:val="24"/>
          <w:szCs w:val="24"/>
        </w:rPr>
      </w:pPr>
    </w:p>
    <w:p w:rsidR="008B22BA" w:rsidRDefault="008B22BA" w:rsidP="008B22BA">
      <w:pPr>
        <w:pStyle w:val="ListParagraph"/>
        <w:numPr>
          <w:ilvl w:val="0"/>
          <w:numId w:val="1"/>
        </w:numPr>
        <w:spacing w:after="0" w:line="240" w:lineRule="auto"/>
        <w:ind w:left="284" w:right="-23" w:hanging="426"/>
        <w:rPr>
          <w:rFonts w:ascii="Arial" w:hAnsi="Arial" w:cs="Arial"/>
          <w:sz w:val="24"/>
          <w:szCs w:val="24"/>
        </w:rPr>
      </w:pPr>
      <w:r w:rsidRPr="00016AEB">
        <w:rPr>
          <w:rFonts w:ascii="Arial" w:hAnsi="Arial" w:cs="Arial"/>
          <w:sz w:val="24"/>
          <w:szCs w:val="24"/>
        </w:rPr>
        <w:t xml:space="preserve">This Circular can be accessed on the Department’s website under </w:t>
      </w:r>
      <w:r w:rsidRPr="00016AEB">
        <w:rPr>
          <w:rStyle w:val="Hyperlink"/>
          <w:rFonts w:ascii="Arial" w:hAnsi="Arial" w:cs="Arial"/>
          <w:sz w:val="24"/>
          <w:szCs w:val="24"/>
        </w:rPr>
        <w:t>https://www.gov.ie/en/circulars/</w:t>
      </w:r>
      <w:r w:rsidRPr="00016AEB">
        <w:rPr>
          <w:rFonts w:ascii="Arial" w:hAnsi="Arial" w:cs="Arial"/>
          <w:sz w:val="24"/>
          <w:szCs w:val="24"/>
        </w:rPr>
        <w:t xml:space="preserve">  </w:t>
      </w:r>
    </w:p>
    <w:p w:rsidR="008B22BA" w:rsidRPr="00016AEB" w:rsidRDefault="008B22BA" w:rsidP="008B22BA">
      <w:pPr>
        <w:pStyle w:val="ListParagraph"/>
        <w:spacing w:after="0" w:line="240" w:lineRule="auto"/>
        <w:ind w:left="284" w:right="-23" w:hanging="426"/>
        <w:rPr>
          <w:rFonts w:ascii="Arial" w:hAnsi="Arial" w:cs="Arial"/>
          <w:sz w:val="24"/>
          <w:szCs w:val="24"/>
        </w:rPr>
      </w:pPr>
    </w:p>
    <w:p w:rsidR="008B22BA" w:rsidRPr="00016AEB" w:rsidRDefault="008B22BA" w:rsidP="008B22BA">
      <w:pPr>
        <w:pStyle w:val="ListParagraph"/>
        <w:numPr>
          <w:ilvl w:val="0"/>
          <w:numId w:val="1"/>
        </w:numPr>
        <w:spacing w:after="0" w:line="240" w:lineRule="auto"/>
        <w:ind w:left="284" w:right="-23" w:hanging="426"/>
        <w:rPr>
          <w:rFonts w:ascii="Arial" w:hAnsi="Arial" w:cs="Arial"/>
          <w:sz w:val="24"/>
          <w:szCs w:val="24"/>
        </w:rPr>
      </w:pPr>
      <w:r w:rsidRPr="00016AEB">
        <w:rPr>
          <w:rFonts w:ascii="Arial" w:hAnsi="Arial" w:cs="Arial"/>
          <w:sz w:val="24"/>
          <w:szCs w:val="24"/>
        </w:rPr>
        <w:t xml:space="preserve">Enquiries regarding this Circular should email quoting Post Primary </w:t>
      </w:r>
      <w:proofErr w:type="spellStart"/>
      <w:r w:rsidRPr="00016AEB">
        <w:rPr>
          <w:rFonts w:ascii="Arial" w:hAnsi="Arial" w:cs="Arial"/>
          <w:sz w:val="24"/>
          <w:szCs w:val="24"/>
        </w:rPr>
        <w:t>H.Dip</w:t>
      </w:r>
      <w:proofErr w:type="spellEnd"/>
      <w:r w:rsidRPr="00016AEB">
        <w:rPr>
          <w:rFonts w:ascii="Arial" w:hAnsi="Arial" w:cs="Arial"/>
          <w:sz w:val="24"/>
          <w:szCs w:val="24"/>
        </w:rPr>
        <w:t xml:space="preserve"> in Ed/PME Allowance to: </w:t>
      </w:r>
    </w:p>
    <w:p w:rsidR="008B22BA" w:rsidRPr="00016AEB" w:rsidRDefault="008B22BA" w:rsidP="008B22BA">
      <w:pPr>
        <w:pStyle w:val="Default"/>
        <w:adjustRightInd w:val="0"/>
        <w:ind w:left="284" w:right="-23" w:hanging="284"/>
        <w:rPr>
          <w:color w:val="auto"/>
          <w:u w:val="single"/>
          <w:lang w:val="en"/>
        </w:rPr>
      </w:pPr>
    </w:p>
    <w:p w:rsidR="008B22BA" w:rsidRPr="00DF722F" w:rsidRDefault="008B22BA" w:rsidP="008B22BA">
      <w:pPr>
        <w:pStyle w:val="ListParagraph"/>
        <w:numPr>
          <w:ilvl w:val="0"/>
          <w:numId w:val="2"/>
        </w:numPr>
        <w:autoSpaceDE w:val="0"/>
        <w:autoSpaceDN w:val="0"/>
        <w:adjustRightInd w:val="0"/>
        <w:spacing w:after="0" w:line="240" w:lineRule="auto"/>
        <w:ind w:left="1134"/>
        <w:rPr>
          <w:rStyle w:val="Hyperlink"/>
          <w:rFonts w:ascii="Arial" w:hAnsi="Arial" w:cs="Arial"/>
          <w:sz w:val="24"/>
          <w:szCs w:val="24"/>
        </w:rPr>
      </w:pPr>
      <w:r>
        <w:rPr>
          <w:rFonts w:ascii="Arial" w:hAnsi="Arial" w:cs="Arial"/>
          <w:sz w:val="24"/>
          <w:szCs w:val="24"/>
        </w:rPr>
        <w:t>Post Primary Teachers</w:t>
      </w:r>
      <w:r w:rsidRPr="00DF722F">
        <w:rPr>
          <w:rFonts w:ascii="Arial" w:hAnsi="Arial" w:cs="Arial"/>
          <w:sz w:val="24"/>
          <w:szCs w:val="24"/>
        </w:rPr>
        <w:t xml:space="preserve">: </w:t>
      </w:r>
      <w:hyperlink r:id="rId9" w:history="1">
        <w:r w:rsidRPr="00DF722F">
          <w:rPr>
            <w:rStyle w:val="Hyperlink"/>
            <w:rFonts w:ascii="Arial" w:hAnsi="Arial" w:cs="Arial"/>
            <w:sz w:val="24"/>
            <w:szCs w:val="24"/>
          </w:rPr>
          <w:t>pppayroll@education.gov.ie</w:t>
        </w:r>
      </w:hyperlink>
    </w:p>
    <w:p w:rsidR="008B22BA" w:rsidRPr="00DF722F" w:rsidRDefault="008B22BA" w:rsidP="008B22BA">
      <w:pPr>
        <w:pStyle w:val="ListParagraph"/>
        <w:numPr>
          <w:ilvl w:val="0"/>
          <w:numId w:val="2"/>
        </w:numPr>
        <w:autoSpaceDE w:val="0"/>
        <w:autoSpaceDN w:val="0"/>
        <w:adjustRightInd w:val="0"/>
        <w:spacing w:after="0" w:line="240" w:lineRule="auto"/>
        <w:ind w:left="1134"/>
        <w:rPr>
          <w:rFonts w:ascii="Arial" w:hAnsi="Arial" w:cs="Arial"/>
          <w:sz w:val="24"/>
          <w:szCs w:val="24"/>
        </w:rPr>
      </w:pPr>
      <w:r w:rsidRPr="00DF722F">
        <w:rPr>
          <w:rFonts w:ascii="Arial" w:hAnsi="Arial" w:cs="Arial"/>
          <w:sz w:val="24"/>
          <w:szCs w:val="24"/>
        </w:rPr>
        <w:t xml:space="preserve">ETB Post Primary Teachers: Relevant HR Department </w:t>
      </w:r>
    </w:p>
    <w:p w:rsidR="008B22BA" w:rsidRPr="00DF722F" w:rsidRDefault="006A2651" w:rsidP="008B22BA">
      <w:pPr>
        <w:pStyle w:val="CommentText"/>
        <w:rPr>
          <w:rFonts w:ascii="Arial" w:hAnsi="Arial" w:cs="Arial"/>
          <w:sz w:val="24"/>
          <w:szCs w:val="24"/>
        </w:rPr>
      </w:pPr>
      <w:r>
        <w:rPr>
          <w:rFonts w:ascii="Arial" w:hAnsi="Arial" w:cs="Arial"/>
          <w:sz w:val="24"/>
          <w:szCs w:val="24"/>
        </w:rPr>
        <w:t xml:space="preserve"> </w:t>
      </w:r>
    </w:p>
    <w:p w:rsidR="008B22BA" w:rsidRDefault="008B22BA" w:rsidP="008B22BA">
      <w:pPr>
        <w:pStyle w:val="Default"/>
        <w:adjustRightInd w:val="0"/>
        <w:ind w:left="1931"/>
      </w:pPr>
    </w:p>
    <w:p w:rsidR="008B22BA" w:rsidRPr="00710C01" w:rsidRDefault="008B22BA" w:rsidP="008B22BA">
      <w:pPr>
        <w:pStyle w:val="Default"/>
        <w:adjustRightInd w:val="0"/>
        <w:ind w:left="1931"/>
        <w:rPr>
          <w:color w:val="auto"/>
          <w:highlight w:val="yellow"/>
          <w:u w:val="single"/>
          <w:lang w:val="en"/>
        </w:rPr>
      </w:pPr>
    </w:p>
    <w:p w:rsidR="008B22BA" w:rsidRPr="005246F0" w:rsidRDefault="008B22BA" w:rsidP="008B22BA">
      <w:pPr>
        <w:pStyle w:val="Default"/>
        <w:rPr>
          <w:color w:val="auto"/>
        </w:rPr>
      </w:pPr>
      <w:r w:rsidRPr="005246F0">
        <w:rPr>
          <w:color w:val="auto"/>
        </w:rPr>
        <w:t>Mark Bohan</w:t>
      </w:r>
      <w:r w:rsidRPr="005246F0">
        <w:rPr>
          <w:color w:val="auto"/>
        </w:rPr>
        <w:tab/>
      </w:r>
      <w:r w:rsidRPr="005246F0">
        <w:rPr>
          <w:color w:val="auto"/>
        </w:rPr>
        <w:tab/>
      </w:r>
      <w:r w:rsidRPr="005246F0">
        <w:rPr>
          <w:color w:val="auto"/>
        </w:rPr>
        <w:tab/>
      </w:r>
      <w:r w:rsidRPr="005246F0">
        <w:rPr>
          <w:color w:val="auto"/>
        </w:rPr>
        <w:tab/>
        <w:t>Sinéad Keenaghan</w:t>
      </w:r>
    </w:p>
    <w:p w:rsidR="008B22BA" w:rsidRPr="005246F0" w:rsidRDefault="008B22BA" w:rsidP="008B22BA">
      <w:pPr>
        <w:pStyle w:val="Default"/>
        <w:rPr>
          <w:color w:val="auto"/>
        </w:rPr>
      </w:pPr>
      <w:r w:rsidRPr="005246F0">
        <w:rPr>
          <w:color w:val="auto"/>
        </w:rPr>
        <w:t>External Staff Relations</w:t>
      </w:r>
      <w:r w:rsidRPr="005246F0">
        <w:rPr>
          <w:color w:val="auto"/>
        </w:rPr>
        <w:tab/>
      </w:r>
      <w:r w:rsidRPr="005246F0">
        <w:rPr>
          <w:color w:val="auto"/>
        </w:rPr>
        <w:tab/>
        <w:t>Payroll Division</w:t>
      </w:r>
      <w:r w:rsidRPr="005246F0">
        <w:rPr>
          <w:color w:val="auto"/>
        </w:rPr>
        <w:tab/>
        <w:t xml:space="preserve">                                        </w:t>
      </w:r>
    </w:p>
    <w:p w:rsidR="008B22BA" w:rsidRDefault="008B22BA" w:rsidP="008B22BA">
      <w:pPr>
        <w:pStyle w:val="Default"/>
        <w:rPr>
          <w:color w:val="auto"/>
        </w:rPr>
      </w:pPr>
    </w:p>
    <w:p w:rsidR="008B22BA" w:rsidRPr="005246F0" w:rsidRDefault="008B22BA" w:rsidP="008B22BA">
      <w:pPr>
        <w:pStyle w:val="Default"/>
        <w:rPr>
          <w:color w:val="auto"/>
        </w:rPr>
      </w:pPr>
      <w:r>
        <w:rPr>
          <w:color w:val="auto"/>
        </w:rPr>
        <w:t xml:space="preserve">5 September </w:t>
      </w:r>
      <w:r w:rsidRPr="005246F0">
        <w:rPr>
          <w:color w:val="auto"/>
        </w:rPr>
        <w:t>2022</w:t>
      </w:r>
    </w:p>
    <w:p w:rsidR="008B22BA" w:rsidRDefault="008B22BA" w:rsidP="008B22BA">
      <w:pPr>
        <w:rPr>
          <w:rFonts w:ascii="Arial" w:hAnsi="Arial" w:cs="Arial"/>
        </w:rPr>
      </w:pPr>
      <w:r w:rsidRPr="00710C01">
        <w:rPr>
          <w:rFonts w:ascii="Arial" w:hAnsi="Arial" w:cs="Arial"/>
          <w:b/>
          <w:bCs/>
          <w:iCs/>
          <w:color w:val="004D44"/>
          <w:sz w:val="24"/>
          <w:szCs w:val="24"/>
          <w:highlight w:val="yellow"/>
        </w:rPr>
        <w:br w:type="page"/>
      </w:r>
    </w:p>
    <w:p w:rsidR="008B22BA" w:rsidRPr="00DB6DFF" w:rsidRDefault="008B22BA" w:rsidP="008B22BA">
      <w:pPr>
        <w:rPr>
          <w:rFonts w:ascii="Arial" w:hAnsi="Arial" w:cs="Arial"/>
          <w:b/>
          <w:color w:val="004D44"/>
          <w:sz w:val="24"/>
          <w:szCs w:val="24"/>
        </w:rPr>
      </w:pPr>
      <w:r w:rsidRPr="00DB6DFF">
        <w:rPr>
          <w:rFonts w:ascii="Arial" w:hAnsi="Arial" w:cs="Arial"/>
          <w:b/>
          <w:bCs/>
          <w:iCs/>
          <w:color w:val="004D44"/>
          <w:sz w:val="24"/>
          <w:szCs w:val="24"/>
        </w:rPr>
        <w:lastRenderedPageBreak/>
        <w:t>Appendix 1</w:t>
      </w:r>
      <w:r w:rsidRPr="00DB6DFF">
        <w:rPr>
          <w:rFonts w:ascii="Arial" w:hAnsi="Arial" w:cs="Arial"/>
          <w:b/>
          <w:color w:val="004D44"/>
          <w:sz w:val="24"/>
          <w:szCs w:val="24"/>
        </w:rPr>
        <w:t xml:space="preserve"> </w:t>
      </w:r>
    </w:p>
    <w:p w:rsidR="008B22BA" w:rsidRPr="004B6315" w:rsidRDefault="008B22BA" w:rsidP="008B22BA">
      <w:pPr>
        <w:rPr>
          <w:rFonts w:ascii="Arial" w:hAnsi="Arial" w:cs="Arial"/>
          <w:sz w:val="24"/>
          <w:szCs w:val="24"/>
        </w:rPr>
      </w:pPr>
      <w:r w:rsidRPr="004B6315">
        <w:rPr>
          <w:rFonts w:ascii="Arial" w:hAnsi="Arial" w:cs="Arial"/>
          <w:sz w:val="24"/>
          <w:szCs w:val="24"/>
        </w:rPr>
        <w:t xml:space="preserve">Revised incremental salary scale for </w:t>
      </w:r>
      <w:r>
        <w:rPr>
          <w:rFonts w:ascii="Arial" w:hAnsi="Arial" w:cs="Arial"/>
          <w:sz w:val="24"/>
          <w:szCs w:val="24"/>
        </w:rPr>
        <w:t xml:space="preserve">post-primary </w:t>
      </w:r>
      <w:r w:rsidRPr="004B6315">
        <w:rPr>
          <w:rFonts w:ascii="Arial" w:hAnsi="Arial" w:cs="Arial"/>
          <w:sz w:val="24"/>
          <w:szCs w:val="24"/>
        </w:rPr>
        <w:t>teachers who entered teaching on or after 1 January 2011, to apply with effect from 1 February 2022.</w:t>
      </w:r>
    </w:p>
    <w:p w:rsidR="008B22BA" w:rsidRPr="004B6315" w:rsidRDefault="008B22BA" w:rsidP="008B22BA">
      <w:pPr>
        <w:rPr>
          <w:rFonts w:ascii="Arial" w:hAnsi="Arial" w:cs="Arial"/>
          <w:sz w:val="24"/>
          <w:szCs w:val="24"/>
        </w:rPr>
      </w:pPr>
    </w:p>
    <w:tbl>
      <w:tblPr>
        <w:tblW w:w="637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261"/>
      </w:tblGrid>
      <w:tr w:rsidR="008B22BA" w:rsidRPr="004B6315" w:rsidTr="00BB7F36">
        <w:trPr>
          <w:trHeight w:val="928"/>
        </w:trPr>
        <w:tc>
          <w:tcPr>
            <w:tcW w:w="6379" w:type="dxa"/>
            <w:gridSpan w:val="2"/>
            <w:tcBorders>
              <w:left w:val="single" w:sz="4" w:space="0" w:color="auto"/>
            </w:tcBorders>
            <w:vAlign w:val="center"/>
          </w:tcPr>
          <w:p w:rsidR="008B22BA" w:rsidRPr="004B6315" w:rsidRDefault="008B22BA" w:rsidP="00BB7F36">
            <w:pPr>
              <w:pStyle w:val="NoSpacing"/>
              <w:jc w:val="center"/>
              <w:rPr>
                <w:rFonts w:ascii="Arial" w:hAnsi="Arial" w:cs="Arial"/>
                <w:color w:val="000000"/>
                <w:sz w:val="24"/>
                <w:szCs w:val="24"/>
              </w:rPr>
            </w:pPr>
            <w:r w:rsidRPr="004B6315">
              <w:rPr>
                <w:rFonts w:ascii="Arial" w:hAnsi="Arial" w:cs="Arial"/>
                <w:sz w:val="24"/>
                <w:szCs w:val="24"/>
              </w:rPr>
              <w:t xml:space="preserve">Revised scale from 1 </w:t>
            </w:r>
            <w:r>
              <w:rPr>
                <w:rFonts w:ascii="Arial" w:hAnsi="Arial" w:cs="Arial"/>
                <w:sz w:val="24"/>
                <w:szCs w:val="24"/>
              </w:rPr>
              <w:t>February</w:t>
            </w:r>
            <w:r w:rsidRPr="004B6315">
              <w:rPr>
                <w:rFonts w:ascii="Arial" w:hAnsi="Arial" w:cs="Arial"/>
                <w:sz w:val="24"/>
                <w:szCs w:val="24"/>
              </w:rPr>
              <w:t xml:space="preserve"> 202</w:t>
            </w:r>
            <w:r>
              <w:rPr>
                <w:rFonts w:ascii="Arial" w:hAnsi="Arial" w:cs="Arial"/>
                <w:sz w:val="24"/>
                <w:szCs w:val="24"/>
              </w:rPr>
              <w:t>2</w:t>
            </w:r>
          </w:p>
          <w:p w:rsidR="008B22BA" w:rsidRPr="004B6315" w:rsidRDefault="008B22BA" w:rsidP="00BB7F36">
            <w:pPr>
              <w:pStyle w:val="NoSpacing"/>
              <w:jc w:val="center"/>
              <w:rPr>
                <w:rFonts w:ascii="Arial" w:hAnsi="Arial" w:cs="Arial"/>
                <w:sz w:val="24"/>
                <w:szCs w:val="24"/>
              </w:rPr>
            </w:pPr>
            <w:r w:rsidRPr="004B6315">
              <w:rPr>
                <w:rFonts w:ascii="Arial" w:hAnsi="Arial" w:cs="Arial"/>
                <w:color w:val="000000"/>
                <w:sz w:val="24"/>
                <w:szCs w:val="24"/>
              </w:rPr>
              <w:t>for those appointed on or after 1 January 2011</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color w:val="000000"/>
                <w:sz w:val="24"/>
                <w:szCs w:val="24"/>
              </w:rPr>
            </w:pPr>
            <w:r w:rsidRPr="004B6315">
              <w:rPr>
                <w:rFonts w:ascii="Arial" w:hAnsi="Arial" w:cs="Arial"/>
                <w:color w:val="000000"/>
                <w:sz w:val="24"/>
                <w:szCs w:val="24"/>
              </w:rPr>
              <w:t>Point</w:t>
            </w:r>
          </w:p>
        </w:tc>
        <w:tc>
          <w:tcPr>
            <w:tcW w:w="3261" w:type="dxa"/>
            <w:shd w:val="clear" w:color="auto" w:fill="auto"/>
            <w:noWrap/>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€39,506</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€41,049</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3</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€42,810</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4</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€43,614</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5</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€44,746</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€46,113</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7</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€47,648</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8</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€49,194</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9</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€50,485</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10</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€52,801</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11</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€54,248</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12</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€55,978</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13</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€57,700</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14</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€59,435</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15</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€60,885</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16</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€62,805</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17</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€62,805</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18</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€62,805</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19</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€65,453</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20</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€65,453</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21</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€65,453</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22</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€65,453</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23</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€68,952</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24</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€68,952</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25</w:t>
            </w:r>
          </w:p>
        </w:tc>
        <w:tc>
          <w:tcPr>
            <w:tcW w:w="3261" w:type="dxa"/>
            <w:shd w:val="clear" w:color="auto" w:fill="auto"/>
            <w:noWrap/>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€68,952</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26</w:t>
            </w:r>
          </w:p>
        </w:tc>
        <w:tc>
          <w:tcPr>
            <w:tcW w:w="3261" w:type="dxa"/>
            <w:shd w:val="clear" w:color="auto" w:fill="auto"/>
            <w:noWrap/>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€68,952</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27</w:t>
            </w:r>
          </w:p>
        </w:tc>
        <w:tc>
          <w:tcPr>
            <w:tcW w:w="3261" w:type="dxa"/>
            <w:shd w:val="clear" w:color="auto" w:fill="auto"/>
            <w:noWrap/>
            <w:vAlign w:val="center"/>
            <w:hideMark/>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€72,817</w:t>
            </w:r>
          </w:p>
        </w:tc>
      </w:tr>
    </w:tbl>
    <w:p w:rsidR="008B22BA" w:rsidRDefault="008B22BA" w:rsidP="008B22BA">
      <w:pPr>
        <w:rPr>
          <w:rFonts w:ascii="Arial" w:hAnsi="Arial" w:cs="Arial"/>
        </w:rPr>
      </w:pPr>
    </w:p>
    <w:p w:rsidR="008B22BA" w:rsidRDefault="008B22BA" w:rsidP="008B22BA">
      <w:pPr>
        <w:rPr>
          <w:rFonts w:ascii="Arial" w:hAnsi="Arial" w:cs="Arial"/>
          <w:i/>
        </w:rPr>
      </w:pPr>
      <w:r>
        <w:rPr>
          <w:rFonts w:ascii="Arial" w:hAnsi="Arial" w:cs="Arial"/>
          <w:i/>
        </w:rPr>
        <w:br w:type="page"/>
      </w:r>
    </w:p>
    <w:p w:rsidR="008B22BA" w:rsidRPr="00DB6DFF" w:rsidRDefault="008B22BA" w:rsidP="008B22BA">
      <w:pPr>
        <w:rPr>
          <w:rFonts w:ascii="Arial" w:hAnsi="Arial" w:cs="Arial"/>
          <w:b/>
          <w:color w:val="004D44"/>
          <w:sz w:val="24"/>
          <w:szCs w:val="24"/>
        </w:rPr>
      </w:pPr>
      <w:r w:rsidRPr="00DB6DFF">
        <w:rPr>
          <w:rFonts w:ascii="Arial" w:hAnsi="Arial" w:cs="Arial"/>
          <w:b/>
          <w:bCs/>
          <w:iCs/>
          <w:color w:val="004D44"/>
          <w:sz w:val="24"/>
          <w:szCs w:val="24"/>
        </w:rPr>
        <w:lastRenderedPageBreak/>
        <w:t xml:space="preserve">Appendix </w:t>
      </w:r>
      <w:r>
        <w:rPr>
          <w:rFonts w:ascii="Arial" w:hAnsi="Arial" w:cs="Arial"/>
          <w:b/>
          <w:bCs/>
          <w:iCs/>
          <w:color w:val="004D44"/>
          <w:sz w:val="24"/>
          <w:szCs w:val="24"/>
        </w:rPr>
        <w:t>2</w:t>
      </w:r>
      <w:r w:rsidRPr="00DB6DFF">
        <w:rPr>
          <w:rFonts w:ascii="Arial" w:hAnsi="Arial" w:cs="Arial"/>
          <w:b/>
          <w:color w:val="004D44"/>
          <w:sz w:val="24"/>
          <w:szCs w:val="24"/>
        </w:rPr>
        <w:t xml:space="preserve"> </w:t>
      </w:r>
    </w:p>
    <w:p w:rsidR="008B22BA" w:rsidRPr="004B6315" w:rsidRDefault="00FC4610" w:rsidP="008B22BA">
      <w:pPr>
        <w:rPr>
          <w:rFonts w:ascii="Arial" w:hAnsi="Arial" w:cs="Arial"/>
          <w:sz w:val="24"/>
          <w:szCs w:val="24"/>
        </w:rPr>
      </w:pPr>
      <w:r>
        <w:rPr>
          <w:rFonts w:ascii="Arial" w:hAnsi="Arial" w:cs="Arial"/>
          <w:sz w:val="24"/>
          <w:szCs w:val="24"/>
        </w:rPr>
        <w:t>The I</w:t>
      </w:r>
      <w:r w:rsidR="008B22BA" w:rsidRPr="004B6315">
        <w:rPr>
          <w:rFonts w:ascii="Arial" w:hAnsi="Arial" w:cs="Arial"/>
          <w:sz w:val="24"/>
          <w:szCs w:val="24"/>
        </w:rPr>
        <w:t xml:space="preserve">ncremental salary scale for </w:t>
      </w:r>
      <w:r w:rsidR="008B22BA">
        <w:rPr>
          <w:rFonts w:ascii="Arial" w:hAnsi="Arial" w:cs="Arial"/>
          <w:sz w:val="24"/>
          <w:szCs w:val="24"/>
        </w:rPr>
        <w:t xml:space="preserve">primary </w:t>
      </w:r>
      <w:r w:rsidR="008B22BA" w:rsidRPr="004B6315">
        <w:rPr>
          <w:rFonts w:ascii="Arial" w:hAnsi="Arial" w:cs="Arial"/>
          <w:sz w:val="24"/>
          <w:szCs w:val="24"/>
        </w:rPr>
        <w:t xml:space="preserve">teachers who entered teaching on or after 1 January 2011, </w:t>
      </w:r>
      <w:r>
        <w:rPr>
          <w:rFonts w:ascii="Arial" w:hAnsi="Arial" w:cs="Arial"/>
          <w:sz w:val="24"/>
          <w:szCs w:val="24"/>
        </w:rPr>
        <w:t>remains as follows:</w:t>
      </w:r>
    </w:p>
    <w:p w:rsidR="008B22BA" w:rsidRPr="004B6315" w:rsidRDefault="008B22BA" w:rsidP="008B22BA">
      <w:pPr>
        <w:rPr>
          <w:rFonts w:ascii="Arial" w:hAnsi="Arial" w:cs="Arial"/>
          <w:sz w:val="24"/>
          <w:szCs w:val="24"/>
        </w:rPr>
      </w:pPr>
    </w:p>
    <w:tbl>
      <w:tblPr>
        <w:tblW w:w="637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261"/>
      </w:tblGrid>
      <w:tr w:rsidR="008B22BA" w:rsidRPr="004B6315" w:rsidTr="00BB7F36">
        <w:trPr>
          <w:trHeight w:val="928"/>
        </w:trPr>
        <w:tc>
          <w:tcPr>
            <w:tcW w:w="6379" w:type="dxa"/>
            <w:gridSpan w:val="2"/>
            <w:tcBorders>
              <w:left w:val="single" w:sz="4" w:space="0" w:color="auto"/>
            </w:tcBorders>
            <w:vAlign w:val="center"/>
          </w:tcPr>
          <w:p w:rsidR="008B22BA" w:rsidRPr="004B6315" w:rsidRDefault="00FC4610" w:rsidP="00BB7F36">
            <w:pPr>
              <w:pStyle w:val="NoSpacing"/>
              <w:jc w:val="center"/>
              <w:rPr>
                <w:rFonts w:ascii="Arial" w:hAnsi="Arial" w:cs="Arial"/>
                <w:color w:val="000000"/>
                <w:sz w:val="24"/>
                <w:szCs w:val="24"/>
              </w:rPr>
            </w:pPr>
            <w:r>
              <w:rPr>
                <w:rFonts w:ascii="Arial" w:hAnsi="Arial" w:cs="Arial"/>
                <w:sz w:val="24"/>
                <w:szCs w:val="24"/>
              </w:rPr>
              <w:t>S</w:t>
            </w:r>
            <w:r w:rsidR="008B22BA" w:rsidRPr="004B6315">
              <w:rPr>
                <w:rFonts w:ascii="Arial" w:hAnsi="Arial" w:cs="Arial"/>
                <w:sz w:val="24"/>
                <w:szCs w:val="24"/>
              </w:rPr>
              <w:t xml:space="preserve">cale from 1 </w:t>
            </w:r>
            <w:r w:rsidR="008B22BA">
              <w:rPr>
                <w:rFonts w:ascii="Arial" w:hAnsi="Arial" w:cs="Arial"/>
                <w:sz w:val="24"/>
                <w:szCs w:val="24"/>
              </w:rPr>
              <w:t>October</w:t>
            </w:r>
            <w:r w:rsidR="008B22BA" w:rsidRPr="004B6315">
              <w:rPr>
                <w:rFonts w:ascii="Arial" w:hAnsi="Arial" w:cs="Arial"/>
                <w:sz w:val="24"/>
                <w:szCs w:val="24"/>
              </w:rPr>
              <w:t xml:space="preserve"> 202</w:t>
            </w:r>
            <w:r w:rsidR="008B22BA">
              <w:rPr>
                <w:rFonts w:ascii="Arial" w:hAnsi="Arial" w:cs="Arial"/>
                <w:sz w:val="24"/>
                <w:szCs w:val="24"/>
              </w:rPr>
              <w:t>1</w:t>
            </w:r>
          </w:p>
          <w:p w:rsidR="008B22BA" w:rsidRPr="004B6315" w:rsidRDefault="008B22BA" w:rsidP="00BB7F36">
            <w:pPr>
              <w:pStyle w:val="NoSpacing"/>
              <w:jc w:val="center"/>
              <w:rPr>
                <w:rFonts w:ascii="Arial" w:hAnsi="Arial" w:cs="Arial"/>
                <w:sz w:val="24"/>
                <w:szCs w:val="24"/>
              </w:rPr>
            </w:pPr>
            <w:r w:rsidRPr="004B6315">
              <w:rPr>
                <w:rFonts w:ascii="Arial" w:hAnsi="Arial" w:cs="Arial"/>
                <w:color w:val="000000"/>
                <w:sz w:val="24"/>
                <w:szCs w:val="24"/>
              </w:rPr>
              <w:t>for those appointed on or after 1 January 2011</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color w:val="000000"/>
                <w:sz w:val="24"/>
                <w:szCs w:val="24"/>
              </w:rPr>
            </w:pPr>
            <w:r w:rsidRPr="004B6315">
              <w:rPr>
                <w:rFonts w:ascii="Arial" w:hAnsi="Arial" w:cs="Arial"/>
                <w:color w:val="000000"/>
                <w:sz w:val="24"/>
                <w:szCs w:val="24"/>
              </w:rPr>
              <w:t>Point</w:t>
            </w:r>
          </w:p>
        </w:tc>
        <w:tc>
          <w:tcPr>
            <w:tcW w:w="3261" w:type="dxa"/>
            <w:shd w:val="clear" w:color="auto" w:fill="auto"/>
            <w:noWrap/>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€38,192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€39,735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3</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€41,496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4</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€42,300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5</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€43,432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6</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€44,799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7</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€46,334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8</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€47,880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9</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€49,171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10</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€51,487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11</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€52,934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12</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€54,664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13</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€56,386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14</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€58,121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15</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€59,571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16</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€61,491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17</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€61,491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18</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€61,491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19</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€64,139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20</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€64,139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21</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€64,139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22</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€64,139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23</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€67,638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24</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€67,638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25</w:t>
            </w:r>
          </w:p>
        </w:tc>
        <w:tc>
          <w:tcPr>
            <w:tcW w:w="3261" w:type="dxa"/>
            <w:shd w:val="clear" w:color="auto" w:fill="auto"/>
            <w:noWrap/>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€67,638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26</w:t>
            </w:r>
          </w:p>
        </w:tc>
        <w:tc>
          <w:tcPr>
            <w:tcW w:w="3261" w:type="dxa"/>
            <w:shd w:val="clear" w:color="auto" w:fill="auto"/>
            <w:noWrap/>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€67,638 </w:t>
            </w:r>
          </w:p>
        </w:tc>
      </w:tr>
      <w:tr w:rsidR="008B22BA" w:rsidRPr="004B6315" w:rsidTr="00BB7F36">
        <w:trPr>
          <w:trHeight w:val="340"/>
        </w:trPr>
        <w:tc>
          <w:tcPr>
            <w:tcW w:w="3118" w:type="dxa"/>
            <w:tcBorders>
              <w:left w:val="single" w:sz="4" w:space="0" w:color="auto"/>
            </w:tcBorders>
            <w:vAlign w:val="center"/>
          </w:tcPr>
          <w:p w:rsidR="008B22BA" w:rsidRPr="004B6315" w:rsidRDefault="008B22BA" w:rsidP="00BB7F36">
            <w:pPr>
              <w:pStyle w:val="NoSpacing"/>
              <w:jc w:val="center"/>
              <w:rPr>
                <w:rFonts w:ascii="Arial" w:hAnsi="Arial" w:cs="Arial"/>
                <w:sz w:val="24"/>
                <w:szCs w:val="24"/>
              </w:rPr>
            </w:pPr>
            <w:r w:rsidRPr="004B6315">
              <w:rPr>
                <w:rFonts w:ascii="Arial" w:hAnsi="Arial" w:cs="Arial"/>
                <w:sz w:val="24"/>
                <w:szCs w:val="24"/>
              </w:rPr>
              <w:t>27</w:t>
            </w:r>
          </w:p>
        </w:tc>
        <w:tc>
          <w:tcPr>
            <w:tcW w:w="3261" w:type="dxa"/>
            <w:shd w:val="clear" w:color="auto" w:fill="auto"/>
            <w:noWrap/>
            <w:hideMark/>
          </w:tcPr>
          <w:p w:rsidR="008B22BA" w:rsidRPr="004B6315" w:rsidRDefault="008B22BA" w:rsidP="00BB7F36">
            <w:pPr>
              <w:pStyle w:val="NoSpacing"/>
              <w:jc w:val="center"/>
              <w:rPr>
                <w:rFonts w:ascii="Arial" w:hAnsi="Arial" w:cs="Arial"/>
                <w:sz w:val="24"/>
                <w:szCs w:val="24"/>
              </w:rPr>
            </w:pPr>
            <w:r w:rsidRPr="00E61991">
              <w:rPr>
                <w:rFonts w:ascii="Arial" w:hAnsi="Arial" w:cs="Arial"/>
                <w:sz w:val="24"/>
                <w:szCs w:val="24"/>
              </w:rPr>
              <w:t xml:space="preserve"> €71,503 </w:t>
            </w:r>
          </w:p>
        </w:tc>
      </w:tr>
    </w:tbl>
    <w:p w:rsidR="008B22BA" w:rsidRDefault="008B22BA"/>
    <w:sectPr w:rsidR="008B22BA" w:rsidSect="002068B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B2" w:rsidRDefault="002068B2" w:rsidP="002068B2">
      <w:pPr>
        <w:spacing w:after="0" w:line="240" w:lineRule="auto"/>
      </w:pPr>
      <w:r>
        <w:separator/>
      </w:r>
    </w:p>
  </w:endnote>
  <w:endnote w:type="continuationSeparator" w:id="0">
    <w:p w:rsidR="002068B2" w:rsidRDefault="002068B2" w:rsidP="0020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B2" w:rsidRDefault="002068B2" w:rsidP="002068B2">
      <w:pPr>
        <w:spacing w:after="0" w:line="240" w:lineRule="auto"/>
      </w:pPr>
      <w:r>
        <w:separator/>
      </w:r>
    </w:p>
  </w:footnote>
  <w:footnote w:type="continuationSeparator" w:id="0">
    <w:p w:rsidR="002068B2" w:rsidRDefault="002068B2" w:rsidP="00206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B2" w:rsidRDefault="002068B2">
    <w:pPr>
      <w:pStyle w:val="Header"/>
    </w:pPr>
    <w:r>
      <w:rPr>
        <w:noProof/>
        <w:lang w:eastAsia="en-IE"/>
      </w:rPr>
      <w:drawing>
        <wp:anchor distT="0" distB="0" distL="114300" distR="114300" simplePos="0" relativeHeight="251659264" behindDoc="1" locked="1" layoutInCell="1" allowOverlap="0" wp14:anchorId="3E12D45C" wp14:editId="73699546">
          <wp:simplePos x="0" y="0"/>
          <wp:positionH relativeFrom="page">
            <wp:align>left</wp:align>
          </wp:positionH>
          <wp:positionV relativeFrom="page">
            <wp:align>top</wp:align>
          </wp:positionV>
          <wp:extent cx="7559040" cy="115760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1576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7A94"/>
    <w:multiLevelType w:val="hybridMultilevel"/>
    <w:tmpl w:val="34760FE6"/>
    <w:lvl w:ilvl="0" w:tplc="1A3CB06E">
      <w:start w:val="1"/>
      <w:numFmt w:val="decimal"/>
      <w:lvlText w:val="%1."/>
      <w:lvlJc w:val="left"/>
      <w:pPr>
        <w:ind w:left="644"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3B7115"/>
    <w:multiLevelType w:val="hybridMultilevel"/>
    <w:tmpl w:val="681E9F34"/>
    <w:lvl w:ilvl="0" w:tplc="0BBEF83E">
      <w:start w:val="1"/>
      <w:numFmt w:val="bullet"/>
      <w:lvlText w:val=""/>
      <w:lvlJc w:val="left"/>
      <w:pPr>
        <w:ind w:left="1931" w:hanging="360"/>
      </w:pPr>
      <w:rPr>
        <w:rFonts w:ascii="Symbol" w:hAnsi="Symbol" w:hint="default"/>
        <w:color w:val="auto"/>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B2"/>
    <w:rsid w:val="00204B0A"/>
    <w:rsid w:val="002068B2"/>
    <w:rsid w:val="006A2651"/>
    <w:rsid w:val="008B22BA"/>
    <w:rsid w:val="00DE42B6"/>
    <w:rsid w:val="00DF5F63"/>
    <w:rsid w:val="00FC46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84302-5B20-46B4-AA17-5E423533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8B2"/>
  </w:style>
  <w:style w:type="paragraph" w:styleId="Footer">
    <w:name w:val="footer"/>
    <w:basedOn w:val="Normal"/>
    <w:link w:val="FooterChar"/>
    <w:uiPriority w:val="99"/>
    <w:unhideWhenUsed/>
    <w:rsid w:val="00206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8B2"/>
  </w:style>
  <w:style w:type="paragraph" w:styleId="CommentText">
    <w:name w:val="annotation text"/>
    <w:basedOn w:val="Normal"/>
    <w:link w:val="CommentTextChar"/>
    <w:uiPriority w:val="99"/>
    <w:rsid w:val="008B22BA"/>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8B22BA"/>
    <w:rPr>
      <w:rFonts w:ascii="Times New Roman" w:eastAsia="Times New Roman" w:hAnsi="Times New Roman" w:cs="Times New Roman"/>
      <w:sz w:val="20"/>
      <w:szCs w:val="20"/>
      <w:lang w:val="en-GB" w:eastAsia="en-GB"/>
    </w:rPr>
  </w:style>
  <w:style w:type="character" w:styleId="Hyperlink">
    <w:name w:val="Hyperlink"/>
    <w:uiPriority w:val="99"/>
    <w:rsid w:val="008B22BA"/>
    <w:rPr>
      <w:color w:val="0000FF"/>
      <w:u w:val="single"/>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8B22BA"/>
    <w:pPr>
      <w:ind w:left="720"/>
      <w:contextualSpacing/>
    </w:pPr>
  </w:style>
  <w:style w:type="paragraph" w:customStyle="1" w:styleId="Default">
    <w:name w:val="Default"/>
    <w:basedOn w:val="Normal"/>
    <w:rsid w:val="008B22BA"/>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8B22BA"/>
    <w:pPr>
      <w:spacing w:after="0" w:line="240" w:lineRule="auto"/>
    </w:p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8B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ircular/831a7-revision-of-teacher-salaries-with-effect-from-1-october-2021/" TargetMode="External"/><Relationship Id="rId3" Type="http://schemas.openxmlformats.org/officeDocument/2006/relationships/settings" Target="settings.xml"/><Relationship Id="rId7" Type="http://schemas.openxmlformats.org/officeDocument/2006/relationships/hyperlink" Target="https://assets.gov.ie/101537/d2abf15f-d504-4c8b-92a9-aa47ef1bd9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ayroll@education.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Garvin, Aine</dc:creator>
  <cp:keywords/>
  <dc:description/>
  <cp:lastModifiedBy>Garvin, Aine</cp:lastModifiedBy>
  <cp:revision>6</cp:revision>
  <dcterms:created xsi:type="dcterms:W3CDTF">2022-09-03T00:46:00Z</dcterms:created>
  <dcterms:modified xsi:type="dcterms:W3CDTF">2022-09-05T13:31:00Z</dcterms:modified>
</cp:coreProperties>
</file>