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5EED" w14:textId="77777777" w:rsidR="00BB3BF6" w:rsidRDefault="00BB3BF6" w:rsidP="00BB3BF6">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sz w:val="24"/>
        </w:rPr>
      </w:pPr>
      <w:bookmarkStart w:id="0" w:name="_Toc456020854"/>
      <w:r>
        <w:rPr>
          <w:rFonts w:ascii="Arial" w:hAnsi="Arial" w:cs="Arial"/>
          <w:sz w:val="24"/>
        </w:rPr>
        <w:t xml:space="preserve">Template </w:t>
      </w:r>
      <w:r w:rsidR="00AA4526">
        <w:rPr>
          <w:rFonts w:ascii="Arial" w:hAnsi="Arial" w:cs="Arial"/>
          <w:sz w:val="24"/>
        </w:rPr>
        <w:t xml:space="preserve">Principal Conditions of Service </w:t>
      </w:r>
      <w:r>
        <w:rPr>
          <w:rFonts w:ascii="Arial" w:hAnsi="Arial" w:cs="Arial"/>
          <w:sz w:val="24"/>
        </w:rPr>
        <w:t>for use in Candidate Information Booklet for CEOs of Non-Commercial State Bodies. Bodies should</w:t>
      </w:r>
      <w:r w:rsidR="0072029C">
        <w:rPr>
          <w:rFonts w:ascii="Arial" w:hAnsi="Arial" w:cs="Arial"/>
          <w:sz w:val="24"/>
        </w:rPr>
        <w:t xml:space="preserve"> fill in all sections highlighted in yellow</w:t>
      </w:r>
      <w:r>
        <w:rPr>
          <w:rFonts w:ascii="Arial" w:hAnsi="Arial" w:cs="Arial"/>
          <w:sz w:val="24"/>
        </w:rPr>
        <w:t>. Any matters that require clarification should be referred to the Parent Department in the first instance.</w:t>
      </w:r>
      <w:r w:rsidR="0072029C">
        <w:rPr>
          <w:rFonts w:ascii="Arial" w:hAnsi="Arial" w:cs="Arial"/>
          <w:sz w:val="24"/>
        </w:rPr>
        <w:t xml:space="preserve"> Parent Departments should ensure all conditions advertised are in line with those sanctioned.</w:t>
      </w:r>
    </w:p>
    <w:p w14:paraId="52725EEE" w14:textId="77777777" w:rsidR="00BB3BF6" w:rsidRDefault="00BB3BF6" w:rsidP="00BB3BF6">
      <w:pPr>
        <w:jc w:val="center"/>
        <w:rPr>
          <w:rFonts w:ascii="Arial" w:hAnsi="Arial" w:cs="Arial"/>
          <w:sz w:val="24"/>
        </w:rPr>
      </w:pPr>
    </w:p>
    <w:p w14:paraId="52725EF1" w14:textId="77777777" w:rsidR="00BB3BF6" w:rsidRPr="001243EA" w:rsidRDefault="00BB3BF6" w:rsidP="00BB3BF6">
      <w:pPr>
        <w:pStyle w:val="Heading1"/>
        <w:numPr>
          <w:ilvl w:val="0"/>
          <w:numId w:val="0"/>
        </w:numPr>
        <w:ind w:left="720"/>
        <w:rPr>
          <w:bCs/>
        </w:rPr>
      </w:pPr>
      <w:r w:rsidRPr="001243EA">
        <w:t>Principal Conditions of Service</w:t>
      </w:r>
      <w:bookmarkEnd w:id="0"/>
    </w:p>
    <w:p w14:paraId="52725EF2" w14:textId="77777777" w:rsidR="00BB3BF6" w:rsidRPr="001243EA" w:rsidRDefault="00BB3BF6" w:rsidP="00BB3BF6">
      <w:pPr>
        <w:rPr>
          <w:rFonts w:ascii="Arial" w:hAnsi="Arial" w:cs="Arial"/>
          <w:noProof w:val="0"/>
          <w:sz w:val="22"/>
          <w:szCs w:val="22"/>
        </w:rPr>
      </w:pPr>
    </w:p>
    <w:p w14:paraId="52725EF4" w14:textId="77777777" w:rsidR="00BB3BF6" w:rsidRPr="001243EA" w:rsidRDefault="00BB3BF6" w:rsidP="00940B61">
      <w:pPr>
        <w:pStyle w:val="Heading4"/>
        <w:ind w:right="0"/>
      </w:pPr>
      <w:r w:rsidRPr="001243EA">
        <w:t>General</w:t>
      </w:r>
    </w:p>
    <w:p w14:paraId="52725EF5" w14:textId="495A53C4" w:rsidR="00BB3BF6" w:rsidRPr="001243EA" w:rsidRDefault="00214957" w:rsidP="00940B61">
      <w:pPr>
        <w:jc w:val="both"/>
        <w:rPr>
          <w:rFonts w:ascii="Arial" w:hAnsi="Arial" w:cs="Arial"/>
          <w:noProof w:val="0"/>
          <w:sz w:val="22"/>
          <w:szCs w:val="22"/>
        </w:rPr>
      </w:pPr>
      <w:r>
        <w:rPr>
          <w:rFonts w:ascii="Arial" w:hAnsi="Arial" w:cs="Arial"/>
          <w:noProof w:val="0"/>
          <w:sz w:val="22"/>
          <w:szCs w:val="22"/>
        </w:rPr>
        <w:t xml:space="preserve">The appointment is made </w:t>
      </w:r>
      <w:r w:rsidR="006C0A7D">
        <w:rPr>
          <w:rFonts w:ascii="Arial" w:hAnsi="Arial" w:cs="Arial"/>
          <w:noProof w:val="0"/>
          <w:sz w:val="22"/>
          <w:szCs w:val="22"/>
        </w:rPr>
        <w:t xml:space="preserve">under the </w:t>
      </w:r>
      <w:r w:rsidR="006C0A7D" w:rsidRPr="006C0A7D">
        <w:rPr>
          <w:rFonts w:ascii="Arial" w:hAnsi="Arial" w:cs="Arial"/>
          <w:noProof w:val="0"/>
          <w:sz w:val="22"/>
          <w:szCs w:val="22"/>
          <w:highlight w:val="yellow"/>
        </w:rPr>
        <w:t>XXX</w:t>
      </w:r>
      <w:r w:rsidR="006C0A7D">
        <w:rPr>
          <w:rFonts w:ascii="Arial" w:hAnsi="Arial" w:cs="Arial"/>
          <w:noProof w:val="0"/>
          <w:sz w:val="22"/>
          <w:szCs w:val="22"/>
        </w:rPr>
        <w:t xml:space="preserve"> Act </w:t>
      </w:r>
      <w:r>
        <w:rPr>
          <w:rFonts w:ascii="Arial" w:hAnsi="Arial" w:cs="Arial"/>
          <w:noProof w:val="0"/>
          <w:sz w:val="22"/>
          <w:szCs w:val="22"/>
        </w:rPr>
        <w:t>[</w:t>
      </w:r>
      <w:r w:rsidRPr="001243EA">
        <w:rPr>
          <w:rFonts w:ascii="Arial" w:hAnsi="Arial" w:cs="Arial"/>
          <w:noProof w:val="0"/>
          <w:sz w:val="22"/>
          <w:szCs w:val="22"/>
          <w:highlight w:val="yellow"/>
        </w:rPr>
        <w:t xml:space="preserve">Insert reference to any relevant </w:t>
      </w:r>
      <w:r>
        <w:rPr>
          <w:rFonts w:ascii="Arial" w:hAnsi="Arial" w:cs="Arial"/>
          <w:noProof w:val="0"/>
          <w:sz w:val="22"/>
          <w:szCs w:val="22"/>
          <w:highlight w:val="yellow"/>
        </w:rPr>
        <w:t xml:space="preserve">section on CEO appointments of </w:t>
      </w:r>
      <w:r w:rsidRPr="001243EA">
        <w:rPr>
          <w:rFonts w:ascii="Arial" w:hAnsi="Arial" w:cs="Arial"/>
          <w:noProof w:val="0"/>
          <w:sz w:val="22"/>
          <w:szCs w:val="22"/>
          <w:highlight w:val="yellow"/>
        </w:rPr>
        <w:t>Act</w:t>
      </w:r>
      <w:r>
        <w:rPr>
          <w:rFonts w:ascii="Arial" w:hAnsi="Arial" w:cs="Arial"/>
          <w:noProof w:val="0"/>
          <w:sz w:val="22"/>
          <w:szCs w:val="22"/>
          <w:highlight w:val="yellow"/>
        </w:rPr>
        <w:t>(</w:t>
      </w:r>
      <w:r w:rsidRPr="001243EA">
        <w:rPr>
          <w:rFonts w:ascii="Arial" w:hAnsi="Arial" w:cs="Arial"/>
          <w:noProof w:val="0"/>
          <w:sz w:val="22"/>
          <w:szCs w:val="22"/>
          <w:highlight w:val="yellow"/>
        </w:rPr>
        <w:t>s</w:t>
      </w:r>
      <w:r>
        <w:rPr>
          <w:rFonts w:ascii="Arial" w:hAnsi="Arial" w:cs="Arial"/>
          <w:noProof w:val="0"/>
          <w:sz w:val="22"/>
          <w:szCs w:val="22"/>
          <w:highlight w:val="yellow"/>
        </w:rPr>
        <w:t>)</w:t>
      </w:r>
      <w:r w:rsidRPr="001243EA">
        <w:rPr>
          <w:rFonts w:ascii="Arial" w:hAnsi="Arial" w:cs="Arial"/>
          <w:noProof w:val="0"/>
          <w:sz w:val="22"/>
          <w:szCs w:val="22"/>
          <w:highlight w:val="yellow"/>
        </w:rPr>
        <w:t xml:space="preserve"> </w:t>
      </w:r>
      <w:r w:rsidR="00F2205A">
        <w:rPr>
          <w:rFonts w:ascii="Arial" w:hAnsi="Arial" w:cs="Arial"/>
          <w:noProof w:val="0"/>
          <w:sz w:val="22"/>
          <w:szCs w:val="22"/>
          <w:highlight w:val="yellow"/>
        </w:rPr>
        <w:t xml:space="preserve">relevant to NCSB (e.g. establishing legislation) </w:t>
      </w:r>
      <w:r w:rsidRPr="001243EA">
        <w:rPr>
          <w:rFonts w:ascii="Arial" w:hAnsi="Arial" w:cs="Arial"/>
          <w:noProof w:val="0"/>
          <w:sz w:val="22"/>
          <w:szCs w:val="22"/>
          <w:highlight w:val="yellow"/>
        </w:rPr>
        <w:t>here</w:t>
      </w:r>
      <w:r>
        <w:rPr>
          <w:rFonts w:ascii="Arial" w:hAnsi="Arial" w:cs="Arial"/>
          <w:noProof w:val="0"/>
          <w:sz w:val="22"/>
          <w:szCs w:val="22"/>
        </w:rPr>
        <w:t>]</w:t>
      </w:r>
      <w:r w:rsidR="00AD4F5D">
        <w:rPr>
          <w:rFonts w:ascii="Arial" w:hAnsi="Arial" w:cs="Arial"/>
          <w:noProof w:val="0"/>
          <w:sz w:val="22"/>
          <w:szCs w:val="22"/>
        </w:rPr>
        <w:t>.</w:t>
      </w:r>
    </w:p>
    <w:p w14:paraId="52725EF6" w14:textId="77777777" w:rsidR="00BB3BF6" w:rsidRPr="001243EA" w:rsidRDefault="00BB3BF6" w:rsidP="00940B61">
      <w:pPr>
        <w:jc w:val="both"/>
        <w:rPr>
          <w:rFonts w:ascii="Arial" w:hAnsi="Arial" w:cs="Arial"/>
          <w:noProof w:val="0"/>
          <w:sz w:val="22"/>
          <w:szCs w:val="22"/>
        </w:rPr>
      </w:pPr>
    </w:p>
    <w:p w14:paraId="52725EF7" w14:textId="77777777" w:rsidR="00BB3BF6" w:rsidRDefault="00BB3BF6" w:rsidP="00940B61">
      <w:pPr>
        <w:pStyle w:val="Heading4"/>
        <w:ind w:right="0"/>
      </w:pPr>
      <w:r w:rsidRPr="001243EA">
        <w:t>Salary</w:t>
      </w:r>
    </w:p>
    <w:p w14:paraId="52725EF8" w14:textId="77777777" w:rsidR="00FA6061" w:rsidRPr="001243EA" w:rsidRDefault="00FA6061" w:rsidP="00940B61">
      <w:pPr>
        <w:tabs>
          <w:tab w:val="left" w:pos="8640"/>
        </w:tabs>
        <w:jc w:val="both"/>
        <w:rPr>
          <w:rFonts w:ascii="Arial" w:hAnsi="Arial" w:cs="Arial"/>
          <w:noProof w:val="0"/>
          <w:sz w:val="22"/>
          <w:szCs w:val="22"/>
        </w:rPr>
      </w:pPr>
      <w:bookmarkStart w:id="1" w:name="OLE_LINK3"/>
      <w:bookmarkStart w:id="2" w:name="OLE_LINK4"/>
      <w:r>
        <w:rPr>
          <w:rFonts w:ascii="Arial" w:hAnsi="Arial" w:cs="Arial"/>
          <w:noProof w:val="0"/>
          <w:sz w:val="22"/>
          <w:szCs w:val="22"/>
        </w:rPr>
        <w:t>[</w:t>
      </w:r>
      <w:r w:rsidRPr="00FA6061">
        <w:rPr>
          <w:rFonts w:ascii="Arial" w:hAnsi="Arial" w:cs="Arial"/>
          <w:noProof w:val="0"/>
          <w:sz w:val="22"/>
          <w:szCs w:val="22"/>
          <w:highlight w:val="yellow"/>
        </w:rPr>
        <w:t>E</w:t>
      </w:r>
      <w:r w:rsidRPr="007F5846">
        <w:rPr>
          <w:rFonts w:ascii="Arial" w:hAnsi="Arial" w:cs="Arial"/>
          <w:noProof w:val="0"/>
          <w:sz w:val="22"/>
          <w:szCs w:val="22"/>
          <w:highlight w:val="yellow"/>
        </w:rPr>
        <w:t>nsure each point is listed if it is a salary scale</w:t>
      </w:r>
      <w:bookmarkEnd w:id="1"/>
      <w:bookmarkEnd w:id="2"/>
      <w:r>
        <w:rPr>
          <w:rFonts w:ascii="Arial" w:hAnsi="Arial" w:cs="Arial"/>
          <w:noProof w:val="0"/>
          <w:sz w:val="22"/>
          <w:szCs w:val="22"/>
        </w:rPr>
        <w:t>]</w:t>
      </w:r>
    </w:p>
    <w:p w14:paraId="52725EF9" w14:textId="07684C0E" w:rsidR="00FA6061" w:rsidRDefault="00FA6061" w:rsidP="00940B61">
      <w:pPr>
        <w:jc w:val="both"/>
        <w:rPr>
          <w:rFonts w:ascii="Arial" w:hAnsi="Arial" w:cs="Arial"/>
          <w:noProof w:val="0"/>
          <w:sz w:val="22"/>
          <w:szCs w:val="22"/>
        </w:rPr>
      </w:pPr>
      <w:r>
        <w:rPr>
          <w:rFonts w:ascii="Arial" w:hAnsi="Arial" w:cs="Arial"/>
          <w:noProof w:val="0"/>
          <w:sz w:val="22"/>
          <w:szCs w:val="22"/>
        </w:rPr>
        <w:t>[</w:t>
      </w:r>
      <w:r w:rsidRPr="00BB3BF6">
        <w:rPr>
          <w:rFonts w:ascii="Arial" w:hAnsi="Arial" w:cs="Arial"/>
          <w:noProof w:val="0"/>
          <w:sz w:val="22"/>
          <w:szCs w:val="22"/>
          <w:highlight w:val="yellow"/>
        </w:rPr>
        <w:t>Remove PPC</w:t>
      </w:r>
      <w:r w:rsidR="0011630E">
        <w:rPr>
          <w:rFonts w:ascii="Arial" w:hAnsi="Arial" w:cs="Arial"/>
          <w:noProof w:val="0"/>
          <w:sz w:val="22"/>
          <w:szCs w:val="22"/>
          <w:highlight w:val="yellow"/>
        </w:rPr>
        <w:t>/Non-PPC</w:t>
      </w:r>
      <w:r w:rsidRPr="00BB3BF6">
        <w:rPr>
          <w:rFonts w:ascii="Arial" w:hAnsi="Arial" w:cs="Arial"/>
          <w:noProof w:val="0"/>
          <w:sz w:val="22"/>
          <w:szCs w:val="22"/>
          <w:highlight w:val="yellow"/>
        </w:rPr>
        <w:t xml:space="preserve"> </w:t>
      </w:r>
      <w:r w:rsidR="00FF182C">
        <w:rPr>
          <w:rFonts w:ascii="Arial" w:hAnsi="Arial" w:cs="Arial"/>
          <w:noProof w:val="0"/>
          <w:sz w:val="22"/>
          <w:szCs w:val="22"/>
          <w:highlight w:val="yellow"/>
        </w:rPr>
        <w:t xml:space="preserve">reference </w:t>
      </w:r>
      <w:r w:rsidRPr="00BB3BF6">
        <w:rPr>
          <w:rFonts w:ascii="Arial" w:hAnsi="Arial" w:cs="Arial"/>
          <w:noProof w:val="0"/>
          <w:sz w:val="22"/>
          <w:szCs w:val="22"/>
          <w:highlight w:val="yellow"/>
        </w:rPr>
        <w:t xml:space="preserve">if not </w:t>
      </w:r>
      <w:r w:rsidR="0011630E">
        <w:rPr>
          <w:rFonts w:ascii="Arial" w:hAnsi="Arial" w:cs="Arial"/>
          <w:noProof w:val="0"/>
          <w:sz w:val="22"/>
          <w:szCs w:val="22"/>
          <w:highlight w:val="yellow"/>
        </w:rPr>
        <w:t xml:space="preserve">applicable to the </w:t>
      </w:r>
      <w:r>
        <w:rPr>
          <w:rFonts w:ascii="Arial" w:hAnsi="Arial" w:cs="Arial"/>
          <w:noProof w:val="0"/>
          <w:sz w:val="22"/>
          <w:szCs w:val="22"/>
          <w:highlight w:val="yellow"/>
        </w:rPr>
        <w:t>Body</w:t>
      </w:r>
      <w:r>
        <w:rPr>
          <w:rFonts w:ascii="Arial" w:hAnsi="Arial" w:cs="Arial"/>
          <w:noProof w:val="0"/>
          <w:sz w:val="22"/>
          <w:szCs w:val="22"/>
        </w:rPr>
        <w:t>]</w:t>
      </w:r>
    </w:p>
    <w:p w14:paraId="52725EFA" w14:textId="77777777" w:rsidR="00FA6061" w:rsidRDefault="00FA6061" w:rsidP="00940B61">
      <w:pPr>
        <w:jc w:val="both"/>
      </w:pPr>
    </w:p>
    <w:p w14:paraId="52725EFB" w14:textId="5CEDE3EF" w:rsidR="00BB3BF6" w:rsidRPr="001243EA" w:rsidRDefault="00BB3BF6" w:rsidP="00940B61">
      <w:pPr>
        <w:tabs>
          <w:tab w:val="left" w:pos="8640"/>
        </w:tabs>
        <w:jc w:val="both"/>
        <w:rPr>
          <w:rFonts w:ascii="Arial" w:hAnsi="Arial" w:cs="Arial"/>
          <w:noProof w:val="0"/>
          <w:sz w:val="22"/>
          <w:szCs w:val="22"/>
        </w:rPr>
      </w:pPr>
      <w:r w:rsidRPr="001243EA">
        <w:rPr>
          <w:rFonts w:ascii="Arial" w:hAnsi="Arial" w:cs="Arial"/>
          <w:noProof w:val="0"/>
          <w:sz w:val="22"/>
          <w:szCs w:val="22"/>
        </w:rPr>
        <w:t xml:space="preserve">The </w:t>
      </w:r>
      <w:r>
        <w:rPr>
          <w:rFonts w:ascii="Arial" w:hAnsi="Arial" w:cs="Arial"/>
          <w:noProof w:val="0"/>
          <w:sz w:val="22"/>
          <w:szCs w:val="22"/>
        </w:rPr>
        <w:t xml:space="preserve">current </w:t>
      </w:r>
      <w:r w:rsidRPr="001243EA">
        <w:rPr>
          <w:rFonts w:ascii="Arial" w:hAnsi="Arial" w:cs="Arial"/>
          <w:noProof w:val="0"/>
          <w:sz w:val="22"/>
          <w:szCs w:val="22"/>
        </w:rPr>
        <w:t xml:space="preserve">salary for the position </w:t>
      </w:r>
      <w:r>
        <w:rPr>
          <w:rFonts w:ascii="Arial" w:hAnsi="Arial" w:cs="Arial"/>
          <w:noProof w:val="0"/>
          <w:sz w:val="22"/>
          <w:szCs w:val="22"/>
        </w:rPr>
        <w:t>(effective [</w:t>
      </w:r>
      <w:r w:rsidR="00FF57C5">
        <w:rPr>
          <w:rFonts w:ascii="Arial" w:hAnsi="Arial" w:cs="Arial"/>
          <w:noProof w:val="0"/>
          <w:sz w:val="22"/>
          <w:szCs w:val="22"/>
          <w:highlight w:val="yellow"/>
        </w:rPr>
        <w:t xml:space="preserve">DATE OF MOST RECENT </w:t>
      </w:r>
      <w:r w:rsidR="00B63605" w:rsidRPr="00B63605">
        <w:rPr>
          <w:rFonts w:ascii="Arial" w:hAnsi="Arial" w:cs="Arial"/>
          <w:noProof w:val="0"/>
          <w:sz w:val="22"/>
          <w:szCs w:val="22"/>
          <w:highlight w:val="yellow"/>
        </w:rPr>
        <w:t>PAY ADJUSTMENT</w:t>
      </w:r>
      <w:r>
        <w:rPr>
          <w:rFonts w:ascii="Arial" w:hAnsi="Arial" w:cs="Arial"/>
          <w:noProof w:val="0"/>
          <w:sz w:val="22"/>
          <w:szCs w:val="22"/>
        </w:rPr>
        <w:t>]) i</w:t>
      </w:r>
      <w:r w:rsidRPr="001243EA">
        <w:rPr>
          <w:rFonts w:ascii="Arial" w:hAnsi="Arial" w:cs="Arial"/>
          <w:noProof w:val="0"/>
          <w:sz w:val="22"/>
          <w:szCs w:val="22"/>
        </w:rPr>
        <w:t>s as follow</w:t>
      </w:r>
      <w:r>
        <w:rPr>
          <w:rFonts w:ascii="Arial" w:hAnsi="Arial" w:cs="Arial"/>
          <w:noProof w:val="0"/>
          <w:sz w:val="22"/>
          <w:szCs w:val="22"/>
        </w:rPr>
        <w:t>s</w:t>
      </w:r>
      <w:r w:rsidRPr="001243EA">
        <w:rPr>
          <w:rFonts w:ascii="Arial" w:hAnsi="Arial" w:cs="Arial"/>
          <w:noProof w:val="0"/>
          <w:sz w:val="22"/>
          <w:szCs w:val="22"/>
        </w:rPr>
        <w:t>:</w:t>
      </w:r>
    </w:p>
    <w:p w14:paraId="52725EFC" w14:textId="77777777" w:rsidR="00BB3BF6" w:rsidRPr="001243EA" w:rsidRDefault="00BB3BF6" w:rsidP="00940B61">
      <w:pPr>
        <w:tabs>
          <w:tab w:val="left" w:pos="8640"/>
        </w:tabs>
        <w:jc w:val="both"/>
        <w:rPr>
          <w:rFonts w:ascii="Arial" w:hAnsi="Arial" w:cs="Arial"/>
          <w:noProof w:val="0"/>
          <w:sz w:val="22"/>
          <w:szCs w:val="22"/>
        </w:rPr>
      </w:pPr>
    </w:p>
    <w:p w14:paraId="52725EFD" w14:textId="77777777" w:rsidR="00BB3BF6" w:rsidRPr="001243EA" w:rsidRDefault="00BB3BF6" w:rsidP="00940B61">
      <w:pPr>
        <w:tabs>
          <w:tab w:val="left" w:pos="8640"/>
        </w:tabs>
        <w:jc w:val="both"/>
        <w:rPr>
          <w:rFonts w:ascii="Arial" w:hAnsi="Arial" w:cs="Arial"/>
          <w:noProof w:val="0"/>
          <w:sz w:val="22"/>
          <w:szCs w:val="22"/>
        </w:rPr>
      </w:pPr>
      <w:r w:rsidRPr="001243EA">
        <w:rPr>
          <w:rFonts w:ascii="Arial" w:hAnsi="Arial" w:cs="Arial"/>
          <w:noProof w:val="0"/>
          <w:sz w:val="22"/>
          <w:szCs w:val="22"/>
        </w:rPr>
        <w:t>Personal pension contribution (PPC) rate:</w:t>
      </w:r>
      <w:r>
        <w:rPr>
          <w:rFonts w:ascii="Arial" w:hAnsi="Arial" w:cs="Arial"/>
          <w:noProof w:val="0"/>
          <w:sz w:val="22"/>
          <w:szCs w:val="22"/>
        </w:rPr>
        <w:t xml:space="preserve"> </w:t>
      </w:r>
    </w:p>
    <w:p w14:paraId="52725EFE" w14:textId="77777777" w:rsidR="00BB3BF6" w:rsidRPr="001243EA" w:rsidRDefault="00BB3BF6" w:rsidP="00940B61">
      <w:pPr>
        <w:tabs>
          <w:tab w:val="left" w:pos="8640"/>
        </w:tabs>
        <w:jc w:val="both"/>
        <w:rPr>
          <w:rFonts w:ascii="Arial" w:hAnsi="Arial" w:cs="Arial"/>
          <w:noProof w:val="0"/>
          <w:sz w:val="22"/>
          <w:szCs w:val="22"/>
        </w:rPr>
      </w:pPr>
      <w:r w:rsidRPr="001243EA">
        <w:rPr>
          <w:rFonts w:ascii="Arial" w:hAnsi="Arial" w:cs="Arial"/>
          <w:noProof w:val="0"/>
          <w:sz w:val="22"/>
          <w:szCs w:val="22"/>
        </w:rPr>
        <w:t>€</w:t>
      </w:r>
      <w:r w:rsidRPr="00B8599A">
        <w:rPr>
          <w:rFonts w:ascii="Arial" w:hAnsi="Arial" w:cs="Arial"/>
          <w:noProof w:val="0"/>
          <w:sz w:val="22"/>
          <w:szCs w:val="22"/>
          <w:highlight w:val="yellow"/>
        </w:rPr>
        <w:t>XX,XXX</w:t>
      </w:r>
      <w:r w:rsidRPr="001243EA">
        <w:rPr>
          <w:rFonts w:ascii="Arial" w:hAnsi="Arial" w:cs="Arial"/>
          <w:noProof w:val="0"/>
          <w:sz w:val="22"/>
          <w:szCs w:val="22"/>
        </w:rPr>
        <w:t xml:space="preserve"> - €XX,XXX - €XX,XXX – €XX,XXX</w:t>
      </w:r>
    </w:p>
    <w:p w14:paraId="52725EFF" w14:textId="77777777" w:rsidR="00BB3BF6" w:rsidRPr="001243EA" w:rsidRDefault="00BB3BF6" w:rsidP="00940B61">
      <w:pPr>
        <w:tabs>
          <w:tab w:val="left" w:pos="8640"/>
        </w:tabs>
        <w:jc w:val="both"/>
        <w:rPr>
          <w:rFonts w:ascii="Arial" w:hAnsi="Arial" w:cs="Arial"/>
          <w:noProof w:val="0"/>
          <w:sz w:val="22"/>
          <w:szCs w:val="22"/>
        </w:rPr>
      </w:pPr>
    </w:p>
    <w:p w14:paraId="4915636B" w14:textId="77777777" w:rsidR="00940B61" w:rsidRPr="00940B61" w:rsidRDefault="00940B61" w:rsidP="00940B61">
      <w:pPr>
        <w:jc w:val="both"/>
        <w:rPr>
          <w:rFonts w:ascii="Arial" w:hAnsi="Arial" w:cs="Arial"/>
          <w:noProof w:val="0"/>
          <w:sz w:val="22"/>
          <w:szCs w:val="22"/>
        </w:rPr>
      </w:pPr>
      <w:r w:rsidRPr="00940B61">
        <w:rPr>
          <w:rFonts w:ascii="Arial" w:hAnsi="Arial" w:cs="Arial"/>
          <w:noProof w:val="0"/>
          <w:sz w:val="22"/>
          <w:szCs w:val="22"/>
        </w:rPr>
        <w:t>A Personal Pension Contribution (PPC) rate is paid to appointees who are required to make a personal pension contribution in respect of their main superannuation scheme membership.  This is different to a contribution payable in respect of membership of Spouses’ and Children’s Scheme and/or the Additional superannuation Contributions (ASC)</w:t>
      </w:r>
    </w:p>
    <w:p w14:paraId="5493CE3F" w14:textId="77777777" w:rsidR="00940B61" w:rsidRPr="00940B61" w:rsidRDefault="00940B61" w:rsidP="00940B61">
      <w:pPr>
        <w:jc w:val="both"/>
        <w:rPr>
          <w:rFonts w:ascii="Arial" w:hAnsi="Arial" w:cs="Arial"/>
          <w:noProof w:val="0"/>
          <w:sz w:val="22"/>
          <w:szCs w:val="22"/>
        </w:rPr>
      </w:pPr>
    </w:p>
    <w:p w14:paraId="455C2093" w14:textId="77777777" w:rsidR="00940B61" w:rsidRPr="00940B61" w:rsidRDefault="00940B61" w:rsidP="00940B61">
      <w:pPr>
        <w:jc w:val="both"/>
        <w:rPr>
          <w:rFonts w:ascii="Arial" w:hAnsi="Arial" w:cs="Arial"/>
          <w:noProof w:val="0"/>
          <w:sz w:val="22"/>
          <w:szCs w:val="22"/>
        </w:rPr>
      </w:pPr>
      <w:r w:rsidRPr="00940B61">
        <w:rPr>
          <w:rFonts w:ascii="Arial" w:hAnsi="Arial" w:cs="Arial"/>
          <w:noProof w:val="0"/>
          <w:sz w:val="22"/>
          <w:szCs w:val="22"/>
        </w:rPr>
        <w:t xml:space="preserve">Non-Personal Pension Contribution (Non-PPC) rates are paid to appointees who are not required to make a personal pension contribution in respect of their main superannuation scheme membership. </w:t>
      </w:r>
    </w:p>
    <w:p w14:paraId="52725F03" w14:textId="77777777" w:rsidR="00BB3BF6" w:rsidRPr="001243EA" w:rsidRDefault="00BB3BF6" w:rsidP="00940B61">
      <w:pPr>
        <w:jc w:val="both"/>
        <w:rPr>
          <w:rFonts w:ascii="Arial" w:hAnsi="Arial" w:cs="Arial"/>
          <w:noProof w:val="0"/>
          <w:sz w:val="22"/>
          <w:szCs w:val="22"/>
        </w:rPr>
      </w:pPr>
    </w:p>
    <w:p w14:paraId="52725F04" w14:textId="77777777" w:rsidR="00BB3BF6" w:rsidRPr="001243EA" w:rsidRDefault="00BB3BF6" w:rsidP="00940B61">
      <w:pPr>
        <w:jc w:val="both"/>
        <w:rPr>
          <w:rFonts w:ascii="Arial" w:hAnsi="Arial" w:cs="Arial"/>
          <w:b/>
          <w:noProof w:val="0"/>
          <w:sz w:val="22"/>
          <w:szCs w:val="22"/>
        </w:rPr>
      </w:pPr>
      <w:r w:rsidRPr="001243EA">
        <w:rPr>
          <w:rFonts w:ascii="Arial" w:hAnsi="Arial" w:cs="Arial"/>
          <w:b/>
          <w:noProof w:val="0"/>
          <w:sz w:val="22"/>
          <w:szCs w:val="22"/>
        </w:rPr>
        <w:t>Important Notes relating to Salary:</w:t>
      </w:r>
    </w:p>
    <w:p w14:paraId="52725F05" w14:textId="77777777" w:rsidR="00BB3BF6" w:rsidRDefault="00BB3BF6" w:rsidP="00940B61">
      <w:pPr>
        <w:jc w:val="both"/>
        <w:rPr>
          <w:rFonts w:ascii="Arial" w:hAnsi="Arial" w:cs="Arial"/>
          <w:noProof w:val="0"/>
          <w:sz w:val="22"/>
          <w:szCs w:val="22"/>
        </w:rPr>
      </w:pPr>
      <w:r w:rsidRPr="001243EA">
        <w:rPr>
          <w:rFonts w:ascii="Arial" w:hAnsi="Arial" w:cs="Arial"/>
          <w:noProof w:val="0"/>
          <w:sz w:val="22"/>
          <w:szCs w:val="22"/>
        </w:rPr>
        <w:t>Candidates should note that entry will be at the minimum of the scale</w:t>
      </w:r>
      <w:r>
        <w:rPr>
          <w:rFonts w:ascii="Arial" w:hAnsi="Arial" w:cs="Arial"/>
          <w:noProof w:val="0"/>
          <w:sz w:val="22"/>
          <w:szCs w:val="22"/>
        </w:rPr>
        <w:t xml:space="preserve"> and will not be subject to negotiation. </w:t>
      </w:r>
      <w:r w:rsidRPr="001243EA">
        <w:rPr>
          <w:rFonts w:ascii="Arial" w:hAnsi="Arial" w:cs="Arial"/>
          <w:noProof w:val="0"/>
          <w:sz w:val="22"/>
          <w:szCs w:val="22"/>
        </w:rPr>
        <w:t>The rate of total remuneration may be adjusted from time to time in line with Government pay policy as applying to public servants generally.</w:t>
      </w:r>
    </w:p>
    <w:p w14:paraId="52725F06" w14:textId="77777777" w:rsidR="00BB3BF6" w:rsidRDefault="00BB3BF6" w:rsidP="00940B61">
      <w:pPr>
        <w:jc w:val="both"/>
        <w:rPr>
          <w:rFonts w:ascii="Arial" w:hAnsi="Arial" w:cs="Arial"/>
          <w:noProof w:val="0"/>
          <w:sz w:val="22"/>
          <w:szCs w:val="22"/>
        </w:rPr>
      </w:pPr>
    </w:p>
    <w:p w14:paraId="52725F07" w14:textId="185428D2" w:rsidR="00BB3BF6" w:rsidRDefault="00BB3BF6" w:rsidP="00940B61">
      <w:pPr>
        <w:jc w:val="both"/>
        <w:rPr>
          <w:rFonts w:ascii="Arial" w:hAnsi="Arial" w:cs="Arial"/>
          <w:noProof w:val="0"/>
          <w:sz w:val="22"/>
          <w:szCs w:val="22"/>
        </w:rPr>
      </w:pPr>
      <w:r>
        <w:rPr>
          <w:rFonts w:ascii="Arial" w:hAnsi="Arial" w:cs="Arial"/>
          <w:noProof w:val="0"/>
          <w:sz w:val="22"/>
          <w:szCs w:val="22"/>
        </w:rPr>
        <w:t>[</w:t>
      </w:r>
      <w:r w:rsidRPr="00BB3BF6">
        <w:rPr>
          <w:rFonts w:ascii="Arial" w:hAnsi="Arial" w:cs="Arial"/>
          <w:noProof w:val="0"/>
          <w:sz w:val="22"/>
          <w:szCs w:val="22"/>
          <w:highlight w:val="yellow"/>
        </w:rPr>
        <w:t xml:space="preserve">Remove if single </w:t>
      </w:r>
      <w:r w:rsidRPr="00FF57C5">
        <w:rPr>
          <w:rFonts w:ascii="Arial" w:hAnsi="Arial" w:cs="Arial"/>
          <w:noProof w:val="0"/>
          <w:sz w:val="22"/>
          <w:szCs w:val="22"/>
          <w:highlight w:val="yellow"/>
        </w:rPr>
        <w:t xml:space="preserve">point </w:t>
      </w:r>
      <w:r w:rsidR="00FF57C5" w:rsidRPr="00FF57C5">
        <w:rPr>
          <w:rFonts w:ascii="Arial" w:hAnsi="Arial" w:cs="Arial"/>
          <w:noProof w:val="0"/>
          <w:sz w:val="22"/>
          <w:szCs w:val="22"/>
          <w:highlight w:val="yellow"/>
        </w:rPr>
        <w:t>salary</w:t>
      </w:r>
      <w:r>
        <w:rPr>
          <w:rFonts w:ascii="Arial" w:hAnsi="Arial" w:cs="Arial"/>
          <w:noProof w:val="0"/>
          <w:sz w:val="22"/>
          <w:szCs w:val="22"/>
        </w:rPr>
        <w:t>]</w:t>
      </w:r>
    </w:p>
    <w:p w14:paraId="52725F08" w14:textId="64EA82F6" w:rsidR="00BB3BF6" w:rsidRDefault="00BB3BF6" w:rsidP="00940B61">
      <w:pPr>
        <w:jc w:val="both"/>
        <w:rPr>
          <w:rFonts w:ascii="Arial" w:hAnsi="Arial" w:cs="Arial"/>
          <w:noProof w:val="0"/>
          <w:sz w:val="22"/>
          <w:szCs w:val="22"/>
        </w:rPr>
      </w:pPr>
      <w:r w:rsidRPr="001243EA">
        <w:rPr>
          <w:rFonts w:ascii="Arial" w:hAnsi="Arial" w:cs="Arial"/>
          <w:noProof w:val="0"/>
          <w:sz w:val="22"/>
          <w:szCs w:val="22"/>
        </w:rPr>
        <w:t>Subje</w:t>
      </w:r>
      <w:r w:rsidR="00FA6061">
        <w:rPr>
          <w:rFonts w:ascii="Arial" w:hAnsi="Arial" w:cs="Arial"/>
          <w:noProof w:val="0"/>
          <w:sz w:val="22"/>
          <w:szCs w:val="22"/>
        </w:rPr>
        <w:t xml:space="preserve">ct to satisfactory performance, </w:t>
      </w:r>
      <w:r w:rsidRPr="001243EA">
        <w:rPr>
          <w:rFonts w:ascii="Arial" w:hAnsi="Arial" w:cs="Arial"/>
          <w:noProof w:val="0"/>
          <w:sz w:val="22"/>
          <w:szCs w:val="22"/>
        </w:rPr>
        <w:t xml:space="preserve">increments may be awarded in line will current Government </w:t>
      </w:r>
      <w:r w:rsidR="00F740CA">
        <w:rPr>
          <w:rFonts w:ascii="Arial" w:hAnsi="Arial" w:cs="Arial"/>
          <w:noProof w:val="0"/>
          <w:sz w:val="22"/>
          <w:szCs w:val="22"/>
        </w:rPr>
        <w:t>p</w:t>
      </w:r>
      <w:r w:rsidRPr="001243EA">
        <w:rPr>
          <w:rFonts w:ascii="Arial" w:hAnsi="Arial" w:cs="Arial"/>
          <w:noProof w:val="0"/>
          <w:sz w:val="22"/>
          <w:szCs w:val="22"/>
        </w:rPr>
        <w:t>olicy.</w:t>
      </w:r>
    </w:p>
    <w:p w14:paraId="52725F09" w14:textId="77777777" w:rsidR="000B3109" w:rsidRDefault="000B3109" w:rsidP="00940B61">
      <w:pPr>
        <w:jc w:val="both"/>
        <w:rPr>
          <w:rFonts w:ascii="Arial" w:hAnsi="Arial" w:cs="Arial"/>
          <w:noProof w:val="0"/>
          <w:sz w:val="22"/>
          <w:szCs w:val="22"/>
        </w:rPr>
      </w:pPr>
    </w:p>
    <w:p w14:paraId="52725F0A" w14:textId="15B6D202" w:rsidR="000B3109" w:rsidRDefault="000B3109" w:rsidP="00940B61">
      <w:pPr>
        <w:jc w:val="both"/>
        <w:rPr>
          <w:rFonts w:ascii="Arial" w:hAnsi="Arial" w:cs="Arial"/>
          <w:noProof w:val="0"/>
          <w:sz w:val="22"/>
          <w:szCs w:val="22"/>
        </w:rPr>
      </w:pPr>
      <w:r>
        <w:rPr>
          <w:rFonts w:ascii="Arial" w:hAnsi="Arial" w:cs="Arial"/>
          <w:noProof w:val="0"/>
          <w:sz w:val="22"/>
          <w:szCs w:val="22"/>
        </w:rPr>
        <w:t>[</w:t>
      </w:r>
      <w:r w:rsidR="00B064C3">
        <w:rPr>
          <w:rFonts w:ascii="Arial" w:hAnsi="Arial" w:cs="Arial"/>
          <w:noProof w:val="0"/>
          <w:sz w:val="22"/>
          <w:szCs w:val="22"/>
          <w:highlight w:val="yellow"/>
        </w:rPr>
        <w:t xml:space="preserve">Only include </w:t>
      </w:r>
      <w:r w:rsidRPr="000B3109">
        <w:rPr>
          <w:rFonts w:ascii="Arial" w:hAnsi="Arial" w:cs="Arial"/>
          <w:noProof w:val="0"/>
          <w:sz w:val="22"/>
          <w:szCs w:val="22"/>
          <w:highlight w:val="yellow"/>
        </w:rPr>
        <w:t xml:space="preserve">if </w:t>
      </w:r>
      <w:r w:rsidR="00FF57C5">
        <w:rPr>
          <w:rFonts w:ascii="Arial" w:hAnsi="Arial" w:cs="Arial"/>
          <w:noProof w:val="0"/>
          <w:sz w:val="22"/>
          <w:szCs w:val="22"/>
          <w:highlight w:val="yellow"/>
        </w:rPr>
        <w:t xml:space="preserve">a </w:t>
      </w:r>
      <w:r w:rsidRPr="000B3109">
        <w:rPr>
          <w:rFonts w:ascii="Arial" w:hAnsi="Arial" w:cs="Arial"/>
          <w:noProof w:val="0"/>
          <w:sz w:val="22"/>
          <w:szCs w:val="22"/>
          <w:highlight w:val="yellow"/>
        </w:rPr>
        <w:t xml:space="preserve">separate “Pensionable Rate of Pay” (s.9 of FEMPI Act 2010 refers) </w:t>
      </w:r>
      <w:r w:rsidR="00B064C3">
        <w:rPr>
          <w:rFonts w:ascii="Arial" w:hAnsi="Arial" w:cs="Arial"/>
          <w:noProof w:val="0"/>
          <w:sz w:val="22"/>
          <w:szCs w:val="22"/>
          <w:highlight w:val="yellow"/>
        </w:rPr>
        <w:t xml:space="preserve">is </w:t>
      </w:r>
      <w:r w:rsidRPr="000B3109">
        <w:rPr>
          <w:rFonts w:ascii="Arial" w:hAnsi="Arial" w:cs="Arial"/>
          <w:noProof w:val="0"/>
          <w:sz w:val="22"/>
          <w:szCs w:val="22"/>
          <w:highlight w:val="yellow"/>
        </w:rPr>
        <w:t>applicable to this post</w:t>
      </w:r>
      <w:r>
        <w:rPr>
          <w:rFonts w:ascii="Arial" w:hAnsi="Arial" w:cs="Arial"/>
          <w:noProof w:val="0"/>
          <w:sz w:val="22"/>
          <w:szCs w:val="22"/>
        </w:rPr>
        <w:t>]</w:t>
      </w:r>
    </w:p>
    <w:p w14:paraId="52725F0B" w14:textId="71FE0428" w:rsidR="000B3109" w:rsidRDefault="008E2662" w:rsidP="00940B61">
      <w:pPr>
        <w:jc w:val="both"/>
        <w:rPr>
          <w:rFonts w:ascii="Arial" w:hAnsi="Arial" w:cs="Arial"/>
          <w:noProof w:val="0"/>
          <w:sz w:val="22"/>
          <w:szCs w:val="22"/>
        </w:rPr>
      </w:pPr>
      <w:r>
        <w:rPr>
          <w:rFonts w:ascii="Arial" w:hAnsi="Arial" w:cs="Arial"/>
          <w:noProof w:val="0"/>
          <w:sz w:val="22"/>
          <w:szCs w:val="22"/>
        </w:rPr>
        <w:t>The s</w:t>
      </w:r>
      <w:r w:rsidR="000B3109" w:rsidRPr="000B3109">
        <w:rPr>
          <w:rFonts w:ascii="Arial" w:hAnsi="Arial" w:cs="Arial"/>
          <w:noProof w:val="0"/>
          <w:sz w:val="22"/>
          <w:szCs w:val="22"/>
        </w:rPr>
        <w:t>alary for the purposes of calculating superannuation benefits may differ from the above depending on individual circumstances.</w:t>
      </w:r>
    </w:p>
    <w:p w14:paraId="52725F0C" w14:textId="77777777" w:rsidR="000B3109" w:rsidRPr="001243EA" w:rsidRDefault="000B3109" w:rsidP="00940B61">
      <w:pPr>
        <w:jc w:val="both"/>
        <w:rPr>
          <w:rFonts w:ascii="Arial" w:hAnsi="Arial" w:cs="Arial"/>
          <w:noProof w:val="0"/>
          <w:sz w:val="22"/>
          <w:szCs w:val="22"/>
        </w:rPr>
      </w:pPr>
    </w:p>
    <w:p w14:paraId="52725F0D" w14:textId="77777777" w:rsidR="00BB3BF6" w:rsidRPr="001243EA" w:rsidRDefault="00BB3BF6" w:rsidP="00940B61">
      <w:pPr>
        <w:pStyle w:val="Heading4"/>
        <w:ind w:right="0"/>
      </w:pPr>
      <w:r w:rsidRPr="001243EA">
        <w:t>Tenure</w:t>
      </w:r>
    </w:p>
    <w:p w14:paraId="52725F0E" w14:textId="66907F2E" w:rsidR="00BB3BF6" w:rsidRPr="001243EA" w:rsidRDefault="00452D98" w:rsidP="00940B61">
      <w:pPr>
        <w:pStyle w:val="PlainText"/>
        <w:jc w:val="both"/>
        <w:rPr>
          <w:rFonts w:ascii="Arial" w:hAnsi="Arial" w:cs="Arial"/>
          <w:iCs/>
          <w:sz w:val="22"/>
          <w:szCs w:val="22"/>
          <w:lang w:val="en-IE"/>
        </w:rPr>
      </w:pPr>
      <w:r w:rsidRPr="00452D98">
        <w:rPr>
          <w:rFonts w:ascii="Arial" w:hAnsi="Arial" w:cs="Arial"/>
          <w:iCs/>
          <w:sz w:val="22"/>
          <w:szCs w:val="22"/>
          <w:lang w:val="en-IE"/>
        </w:rPr>
        <w:t>The appointment will be on the basis of a fixed term contract of employ</w:t>
      </w:r>
      <w:r>
        <w:rPr>
          <w:rFonts w:ascii="Arial" w:hAnsi="Arial" w:cs="Arial"/>
          <w:iCs/>
          <w:sz w:val="22"/>
          <w:szCs w:val="22"/>
          <w:lang w:val="en-IE"/>
        </w:rPr>
        <w:t xml:space="preserve">ment for a period of five years </w:t>
      </w:r>
      <w:r w:rsidR="00BB3BF6" w:rsidRPr="001243EA">
        <w:rPr>
          <w:rFonts w:ascii="Arial" w:hAnsi="Arial" w:cs="Arial"/>
          <w:iCs/>
          <w:sz w:val="22"/>
          <w:szCs w:val="22"/>
          <w:lang w:val="en-IE"/>
        </w:rPr>
        <w:t>[</w:t>
      </w:r>
      <w:r w:rsidR="00BB3BF6" w:rsidRPr="001243EA">
        <w:rPr>
          <w:rFonts w:ascii="Arial" w:hAnsi="Arial" w:cs="Arial"/>
          <w:iCs/>
          <w:sz w:val="22"/>
          <w:szCs w:val="22"/>
          <w:highlight w:val="yellow"/>
          <w:lang w:val="en-IE"/>
        </w:rPr>
        <w:t xml:space="preserve">update </w:t>
      </w:r>
      <w:r w:rsidR="00BB3BF6">
        <w:rPr>
          <w:rFonts w:ascii="Arial" w:hAnsi="Arial" w:cs="Arial"/>
          <w:iCs/>
          <w:sz w:val="22"/>
          <w:szCs w:val="22"/>
          <w:highlight w:val="yellow"/>
          <w:lang w:val="en-IE"/>
        </w:rPr>
        <w:t xml:space="preserve">length of tenure if </w:t>
      </w:r>
      <w:r w:rsidR="00BB3BF6" w:rsidRPr="001243EA">
        <w:rPr>
          <w:rFonts w:ascii="Arial" w:hAnsi="Arial" w:cs="Arial"/>
          <w:iCs/>
          <w:sz w:val="22"/>
          <w:szCs w:val="22"/>
          <w:highlight w:val="yellow"/>
          <w:lang w:val="en-IE"/>
        </w:rPr>
        <w:t>necessary</w:t>
      </w:r>
      <w:r w:rsidR="00BB3BF6" w:rsidRPr="001243EA">
        <w:rPr>
          <w:rFonts w:ascii="Arial" w:hAnsi="Arial" w:cs="Arial"/>
          <w:iCs/>
          <w:sz w:val="22"/>
          <w:szCs w:val="22"/>
          <w:lang w:val="en-IE"/>
        </w:rPr>
        <w:t>]</w:t>
      </w:r>
      <w:r w:rsidR="00BB3BF6">
        <w:rPr>
          <w:rFonts w:ascii="Arial" w:hAnsi="Arial" w:cs="Arial"/>
          <w:iCs/>
          <w:sz w:val="22"/>
          <w:szCs w:val="22"/>
          <w:lang w:val="en-IE"/>
        </w:rPr>
        <w:t>.</w:t>
      </w:r>
    </w:p>
    <w:p w14:paraId="52725F0F" w14:textId="77777777" w:rsidR="00BB3BF6" w:rsidRPr="001243EA" w:rsidRDefault="00BB3BF6" w:rsidP="00940B61">
      <w:pPr>
        <w:pStyle w:val="PlainText"/>
        <w:jc w:val="both"/>
        <w:rPr>
          <w:rFonts w:ascii="Arial" w:hAnsi="Arial" w:cs="Arial"/>
          <w:iCs/>
          <w:sz w:val="22"/>
          <w:szCs w:val="22"/>
          <w:lang w:val="en-IE"/>
        </w:rPr>
      </w:pPr>
    </w:p>
    <w:p w14:paraId="52725F10" w14:textId="77777777" w:rsidR="00BB3BF6" w:rsidRPr="001243EA" w:rsidRDefault="00BB3BF6" w:rsidP="00940B61">
      <w:pPr>
        <w:pStyle w:val="Heading4"/>
        <w:ind w:right="0"/>
      </w:pPr>
      <w:r w:rsidRPr="001243EA">
        <w:t>Location</w:t>
      </w:r>
    </w:p>
    <w:p w14:paraId="52725F11" w14:textId="77777777" w:rsidR="00BB3BF6" w:rsidRPr="001243EA" w:rsidRDefault="00BB3BF6" w:rsidP="00940B61">
      <w:pPr>
        <w:jc w:val="both"/>
        <w:rPr>
          <w:rFonts w:ascii="Arial" w:hAnsi="Arial" w:cs="Arial"/>
          <w:sz w:val="22"/>
        </w:rPr>
      </w:pPr>
      <w:r w:rsidRPr="001243EA">
        <w:rPr>
          <w:rFonts w:ascii="Arial" w:hAnsi="Arial" w:cs="Arial"/>
          <w:sz w:val="22"/>
        </w:rPr>
        <w:t>The headquarters of [</w:t>
      </w:r>
      <w:r w:rsidRPr="007A079A">
        <w:rPr>
          <w:rFonts w:ascii="Arial" w:hAnsi="Arial" w:cs="Arial"/>
          <w:sz w:val="22"/>
          <w:highlight w:val="yellow"/>
        </w:rPr>
        <w:t>insert agency</w:t>
      </w:r>
      <w:r w:rsidRPr="001243EA">
        <w:rPr>
          <w:rFonts w:ascii="Arial" w:hAnsi="Arial" w:cs="Arial"/>
          <w:sz w:val="22"/>
        </w:rPr>
        <w:t>] are currently based in [</w:t>
      </w:r>
      <w:r w:rsidRPr="001243EA">
        <w:rPr>
          <w:rFonts w:ascii="Arial" w:hAnsi="Arial" w:cs="Arial"/>
          <w:sz w:val="22"/>
          <w:highlight w:val="yellow"/>
        </w:rPr>
        <w:t>XXX</w:t>
      </w:r>
      <w:r w:rsidRPr="001243EA">
        <w:rPr>
          <w:rFonts w:ascii="Arial" w:hAnsi="Arial" w:cs="Arial"/>
          <w:sz w:val="22"/>
        </w:rPr>
        <w:t>].</w:t>
      </w:r>
    </w:p>
    <w:p w14:paraId="52725F12" w14:textId="669CDDE1" w:rsidR="00BB3BF6" w:rsidRDefault="00BB3BF6" w:rsidP="00940B61">
      <w:pPr>
        <w:jc w:val="both"/>
        <w:rPr>
          <w:rFonts w:ascii="Arial" w:hAnsi="Arial" w:cs="Arial"/>
          <w:sz w:val="22"/>
        </w:rPr>
      </w:pPr>
    </w:p>
    <w:p w14:paraId="2AF8F195" w14:textId="244D4EBE" w:rsidR="00F31341" w:rsidRDefault="00F31341" w:rsidP="00940B61">
      <w:pPr>
        <w:jc w:val="both"/>
        <w:rPr>
          <w:rFonts w:ascii="Arial" w:hAnsi="Arial" w:cs="Arial"/>
          <w:sz w:val="22"/>
        </w:rPr>
      </w:pPr>
    </w:p>
    <w:p w14:paraId="44D293CF" w14:textId="77777777" w:rsidR="00F31341" w:rsidRPr="001243EA" w:rsidRDefault="00F31341" w:rsidP="00940B61">
      <w:pPr>
        <w:jc w:val="both"/>
        <w:rPr>
          <w:rFonts w:ascii="Arial" w:hAnsi="Arial" w:cs="Arial"/>
          <w:sz w:val="22"/>
        </w:rPr>
      </w:pPr>
      <w:bookmarkStart w:id="3" w:name="_GoBack"/>
      <w:bookmarkEnd w:id="3"/>
    </w:p>
    <w:p w14:paraId="52725F13" w14:textId="77777777" w:rsidR="00BB3BF6" w:rsidRPr="001243EA" w:rsidRDefault="00BB3BF6" w:rsidP="00940B61">
      <w:pPr>
        <w:pStyle w:val="Heading4"/>
        <w:ind w:right="0"/>
      </w:pPr>
      <w:r w:rsidRPr="001243EA">
        <w:lastRenderedPageBreak/>
        <w:t>Hours of attendance</w:t>
      </w:r>
    </w:p>
    <w:p w14:paraId="52725F14" w14:textId="77777777" w:rsidR="00BB3BF6" w:rsidRPr="001243EA" w:rsidRDefault="00BB3BF6" w:rsidP="00940B61">
      <w:pPr>
        <w:pStyle w:val="BodyText2"/>
        <w:jc w:val="both"/>
        <w:rPr>
          <w:rFonts w:ascii="Arial" w:hAnsi="Arial" w:cs="Arial"/>
          <w:b w:val="0"/>
          <w:noProof w:val="0"/>
          <w:sz w:val="22"/>
          <w:szCs w:val="22"/>
        </w:rPr>
      </w:pPr>
      <w:r w:rsidRPr="001243EA">
        <w:rPr>
          <w:rFonts w:ascii="Arial" w:hAnsi="Arial" w:cs="Arial"/>
          <w:b w:val="0"/>
          <w:noProof w:val="0"/>
          <w:sz w:val="22"/>
          <w:szCs w:val="22"/>
        </w:rPr>
        <w:t xml:space="preserve">Hours of attendance will be fixed from time to time but will amount to not less than </w:t>
      </w:r>
      <w:r w:rsidRPr="002440BF">
        <w:rPr>
          <w:rFonts w:ascii="Arial" w:hAnsi="Arial" w:cs="Arial"/>
          <w:b w:val="0"/>
          <w:noProof w:val="0"/>
          <w:sz w:val="22"/>
          <w:szCs w:val="22"/>
        </w:rPr>
        <w:t xml:space="preserve">43 hours and 15 </w:t>
      </w:r>
      <w:r>
        <w:rPr>
          <w:rFonts w:ascii="Arial" w:hAnsi="Arial" w:cs="Arial"/>
          <w:b w:val="0"/>
          <w:noProof w:val="0"/>
          <w:sz w:val="22"/>
          <w:szCs w:val="22"/>
        </w:rPr>
        <w:t xml:space="preserve">minutes </w:t>
      </w:r>
      <w:r w:rsidRPr="002440BF">
        <w:rPr>
          <w:rFonts w:ascii="Arial" w:hAnsi="Arial" w:cs="Arial"/>
          <w:b w:val="0"/>
          <w:noProof w:val="0"/>
          <w:sz w:val="22"/>
          <w:szCs w:val="22"/>
        </w:rPr>
        <w:t>gross per week</w:t>
      </w:r>
      <w:r w:rsidRPr="001243EA">
        <w:rPr>
          <w:rFonts w:ascii="Arial" w:hAnsi="Arial" w:cs="Arial"/>
          <w:b w:val="0"/>
          <w:noProof w:val="0"/>
          <w:sz w:val="22"/>
          <w:szCs w:val="22"/>
        </w:rPr>
        <w:t xml:space="preserve"> or 37 hours net of lunch breaks</w:t>
      </w:r>
      <w:r>
        <w:rPr>
          <w:rFonts w:ascii="Arial" w:hAnsi="Arial" w:cs="Arial"/>
          <w:b w:val="0"/>
          <w:noProof w:val="0"/>
          <w:sz w:val="22"/>
          <w:szCs w:val="22"/>
        </w:rPr>
        <w:t xml:space="preserve"> [</w:t>
      </w:r>
      <w:r w:rsidRPr="002440BF">
        <w:rPr>
          <w:rFonts w:ascii="Arial" w:hAnsi="Arial" w:cs="Arial"/>
          <w:b w:val="0"/>
          <w:noProof w:val="0"/>
          <w:sz w:val="22"/>
          <w:szCs w:val="22"/>
          <w:highlight w:val="yellow"/>
        </w:rPr>
        <w:t>ensure working hours are correct</w:t>
      </w:r>
      <w:r>
        <w:rPr>
          <w:rFonts w:ascii="Arial" w:hAnsi="Arial" w:cs="Arial"/>
          <w:b w:val="0"/>
          <w:noProof w:val="0"/>
          <w:sz w:val="22"/>
          <w:szCs w:val="22"/>
        </w:rPr>
        <w:t>]</w:t>
      </w:r>
      <w:r w:rsidRPr="001243EA">
        <w:rPr>
          <w:rFonts w:ascii="Arial" w:hAnsi="Arial" w:cs="Arial"/>
          <w:b w:val="0"/>
          <w:noProof w:val="0"/>
          <w:sz w:val="22"/>
          <w:szCs w:val="22"/>
        </w:rPr>
        <w:t xml:space="preserve">. The successful candidate will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 </w:t>
      </w:r>
    </w:p>
    <w:p w14:paraId="52725F15" w14:textId="77777777" w:rsidR="00BB3BF6" w:rsidRPr="001243EA" w:rsidRDefault="00BB3BF6" w:rsidP="00940B61">
      <w:pPr>
        <w:pStyle w:val="BodyText2"/>
        <w:jc w:val="both"/>
        <w:rPr>
          <w:rFonts w:ascii="Arial" w:hAnsi="Arial" w:cs="Arial"/>
          <w:b w:val="0"/>
          <w:noProof w:val="0"/>
          <w:sz w:val="22"/>
          <w:szCs w:val="22"/>
        </w:rPr>
      </w:pPr>
    </w:p>
    <w:p w14:paraId="52725F16" w14:textId="77777777" w:rsidR="00BB3BF6" w:rsidRPr="001243EA" w:rsidRDefault="00BB3BF6" w:rsidP="00940B61">
      <w:pPr>
        <w:pStyle w:val="Heading4"/>
        <w:ind w:right="0"/>
      </w:pPr>
      <w:r w:rsidRPr="001243EA">
        <w:t>Annual Leave</w:t>
      </w:r>
    </w:p>
    <w:p w14:paraId="52725F17" w14:textId="77777777" w:rsidR="00BB3BF6" w:rsidRPr="001243EA" w:rsidRDefault="00BB3BF6" w:rsidP="00940B61">
      <w:pPr>
        <w:jc w:val="both"/>
        <w:rPr>
          <w:rFonts w:ascii="Arial" w:hAnsi="Arial" w:cs="Arial"/>
          <w:sz w:val="22"/>
        </w:rPr>
      </w:pPr>
      <w:r w:rsidRPr="001243EA">
        <w:rPr>
          <w:rFonts w:ascii="Arial" w:hAnsi="Arial" w:cs="Arial"/>
          <w:noProof w:val="0"/>
          <w:sz w:val="22"/>
          <w:szCs w:val="22"/>
        </w:rPr>
        <w:t>In addition to the usual public holidays, the annual leave for this position is [</w:t>
      </w:r>
      <w:r w:rsidRPr="001243EA">
        <w:rPr>
          <w:rFonts w:ascii="Arial" w:hAnsi="Arial" w:cs="Arial"/>
          <w:noProof w:val="0"/>
          <w:sz w:val="22"/>
          <w:szCs w:val="22"/>
          <w:highlight w:val="yellow"/>
        </w:rPr>
        <w:t>XX</w:t>
      </w:r>
      <w:r>
        <w:rPr>
          <w:rFonts w:ascii="Arial" w:hAnsi="Arial" w:cs="Arial"/>
          <w:noProof w:val="0"/>
          <w:sz w:val="22"/>
          <w:szCs w:val="22"/>
        </w:rPr>
        <w:t xml:space="preserve"> </w:t>
      </w:r>
      <w:r w:rsidRPr="001223FE">
        <w:rPr>
          <w:rFonts w:ascii="Arial" w:hAnsi="Arial" w:cs="Arial"/>
          <w:noProof w:val="0"/>
          <w:sz w:val="22"/>
          <w:szCs w:val="22"/>
          <w:highlight w:val="yellow"/>
        </w:rPr>
        <w:t>– not to exceed 30 days</w:t>
      </w:r>
      <w:r w:rsidRPr="001243EA">
        <w:rPr>
          <w:rFonts w:ascii="Arial" w:hAnsi="Arial" w:cs="Arial"/>
          <w:noProof w:val="0"/>
          <w:sz w:val="22"/>
          <w:szCs w:val="22"/>
        </w:rPr>
        <w:t>] working days.</w:t>
      </w:r>
    </w:p>
    <w:p w14:paraId="52725F18" w14:textId="77777777" w:rsidR="00BB3BF6" w:rsidRPr="001243EA" w:rsidRDefault="00BB3BF6" w:rsidP="00940B61">
      <w:pPr>
        <w:jc w:val="both"/>
      </w:pPr>
    </w:p>
    <w:p w14:paraId="52725F19" w14:textId="77777777" w:rsidR="00BB3BF6" w:rsidRPr="001243EA" w:rsidRDefault="00BB3BF6" w:rsidP="00940B61">
      <w:pPr>
        <w:pStyle w:val="Heading4"/>
        <w:ind w:right="0"/>
      </w:pPr>
      <w:r w:rsidRPr="001243EA">
        <w:t>Sick Leave</w:t>
      </w:r>
    </w:p>
    <w:p w14:paraId="52725F1A" w14:textId="77777777" w:rsidR="00BB3BF6" w:rsidRDefault="00BB3BF6" w:rsidP="00940B61">
      <w:pPr>
        <w:pStyle w:val="PlainText"/>
        <w:jc w:val="both"/>
        <w:rPr>
          <w:rFonts w:ascii="Arial" w:hAnsi="Arial" w:cs="Arial"/>
          <w:noProof w:val="0"/>
          <w:sz w:val="22"/>
          <w:szCs w:val="22"/>
          <w:lang w:val="en-IE"/>
        </w:rPr>
      </w:pPr>
      <w:r w:rsidRPr="001243EA">
        <w:rPr>
          <w:rFonts w:ascii="Arial" w:hAnsi="Arial" w:cs="Arial"/>
          <w:noProof w:val="0"/>
          <w:sz w:val="22"/>
          <w:szCs w:val="22"/>
          <w:lang w:val="en-IE"/>
        </w:rPr>
        <w:t>Pay during properly certified sick absence, provided there is no evidence of permanent disability for service, will apply on a pro-rata basis, in accordance with the provisions of the Public Service Sick Leave Scheme</w:t>
      </w:r>
      <w:r>
        <w:rPr>
          <w:rFonts w:ascii="Arial" w:hAnsi="Arial" w:cs="Arial"/>
          <w:noProof w:val="0"/>
          <w:sz w:val="22"/>
          <w:szCs w:val="22"/>
          <w:lang w:val="en-IE"/>
        </w:rPr>
        <w:t>.</w:t>
      </w:r>
    </w:p>
    <w:p w14:paraId="52725F1B" w14:textId="77777777" w:rsidR="00BB3BF6" w:rsidRPr="001243EA" w:rsidRDefault="00BB3BF6" w:rsidP="00940B61">
      <w:pPr>
        <w:pStyle w:val="PlainText"/>
        <w:jc w:val="both"/>
      </w:pPr>
      <w:r w:rsidRPr="001243EA">
        <w:t xml:space="preserve"> </w:t>
      </w:r>
    </w:p>
    <w:p w14:paraId="52725F1C" w14:textId="77777777" w:rsidR="00BB3BF6" w:rsidRPr="001243EA" w:rsidRDefault="00BB3BF6" w:rsidP="00940B61">
      <w:pPr>
        <w:pStyle w:val="Heading4"/>
        <w:ind w:right="0"/>
      </w:pPr>
      <w:r w:rsidRPr="001243EA">
        <w:t>Superannuation and Retirement</w:t>
      </w:r>
    </w:p>
    <w:p w14:paraId="52725F1D" w14:textId="77777777" w:rsidR="00BB3BF6" w:rsidRPr="001243EA" w:rsidRDefault="00BB3BF6" w:rsidP="00940B61">
      <w:pPr>
        <w:jc w:val="both"/>
        <w:rPr>
          <w:rFonts w:ascii="Arial" w:hAnsi="Arial" w:cs="Arial"/>
          <w:color w:val="000000"/>
          <w:sz w:val="22"/>
          <w:szCs w:val="22"/>
        </w:rPr>
      </w:pPr>
      <w:r w:rsidRPr="001243EA">
        <w:rPr>
          <w:rFonts w:ascii="Arial" w:hAnsi="Arial" w:cs="Arial"/>
          <w:color w:val="000000"/>
          <w:sz w:val="22"/>
          <w:szCs w:val="22"/>
        </w:rPr>
        <w:t xml:space="preserve">The successful candidate will be offered the appropriate superannuation terms and conditions as prevailing in the </w:t>
      </w:r>
      <w:r>
        <w:rPr>
          <w:rFonts w:ascii="Arial" w:hAnsi="Arial" w:cs="Arial"/>
          <w:color w:val="000000"/>
          <w:sz w:val="22"/>
          <w:szCs w:val="22"/>
        </w:rPr>
        <w:t>p</w:t>
      </w:r>
      <w:r w:rsidRPr="001243EA">
        <w:rPr>
          <w:rFonts w:ascii="Arial" w:hAnsi="Arial" w:cs="Arial"/>
          <w:color w:val="000000"/>
          <w:sz w:val="22"/>
          <w:szCs w:val="22"/>
        </w:rPr>
        <w:t xml:space="preserve">ublic </w:t>
      </w:r>
      <w:r>
        <w:rPr>
          <w:rFonts w:ascii="Arial" w:hAnsi="Arial" w:cs="Arial"/>
          <w:color w:val="000000"/>
          <w:sz w:val="22"/>
          <w:szCs w:val="22"/>
        </w:rPr>
        <w:t>s</w:t>
      </w:r>
      <w:r w:rsidRPr="001243EA">
        <w:rPr>
          <w:rFonts w:ascii="Arial" w:hAnsi="Arial" w:cs="Arial"/>
          <w:color w:val="000000"/>
          <w:sz w:val="22"/>
          <w:szCs w:val="22"/>
        </w:rPr>
        <w:t>ervice, at the time of being offered an appointment.</w:t>
      </w:r>
    </w:p>
    <w:p w14:paraId="52725F1E" w14:textId="77777777" w:rsidR="00BB3BF6" w:rsidRPr="001243EA" w:rsidRDefault="00BB3BF6" w:rsidP="00940B61">
      <w:pPr>
        <w:jc w:val="both"/>
        <w:rPr>
          <w:rFonts w:ascii="Arial" w:hAnsi="Arial" w:cs="Arial"/>
          <w:color w:val="000000"/>
          <w:sz w:val="22"/>
          <w:szCs w:val="22"/>
        </w:rPr>
      </w:pPr>
    </w:p>
    <w:p w14:paraId="52725F1F" w14:textId="2859D861" w:rsidR="00BB3BF6" w:rsidRPr="00BB3BF6" w:rsidRDefault="00BB3BF6" w:rsidP="00940B61">
      <w:pPr>
        <w:jc w:val="both"/>
        <w:rPr>
          <w:rFonts w:ascii="Arial" w:hAnsi="Arial" w:cs="Arial"/>
          <w:color w:val="000000"/>
          <w:sz w:val="24"/>
          <w:szCs w:val="22"/>
        </w:rPr>
      </w:pPr>
      <w:r w:rsidRPr="001243EA">
        <w:rPr>
          <w:rFonts w:ascii="Arial" w:hAnsi="Arial" w:cs="Arial"/>
          <w:color w:val="000000"/>
          <w:sz w:val="22"/>
          <w:szCs w:val="22"/>
        </w:rPr>
        <w:t>In general, this means being offered appointment based on membership of the Single Public Service Pension Scheme (“Single Scheme”).</w:t>
      </w:r>
      <w:r>
        <w:rPr>
          <w:rFonts w:ascii="Arial" w:hAnsi="Arial" w:cs="Arial"/>
          <w:color w:val="000000"/>
          <w:sz w:val="22"/>
          <w:szCs w:val="22"/>
        </w:rPr>
        <w:t xml:space="preserve"> </w:t>
      </w:r>
      <w:r w:rsidRPr="001243EA">
        <w:rPr>
          <w:rFonts w:ascii="Arial" w:hAnsi="Arial" w:cs="Arial"/>
          <w:color w:val="000000"/>
          <w:sz w:val="22"/>
          <w:szCs w:val="22"/>
        </w:rPr>
        <w:t xml:space="preserve">Full details of the Single Scheme can be found at </w:t>
      </w:r>
      <w:hyperlink r:id="rId12" w:history="1">
        <w:r w:rsidRPr="001D73D6">
          <w:rPr>
            <w:rStyle w:val="Hyperlink"/>
            <w:rFonts w:ascii="Arial" w:hAnsi="Arial" w:cs="Arial"/>
            <w:sz w:val="22"/>
          </w:rPr>
          <w:t>http://www.singlepensionscheme.gov.ie/</w:t>
        </w:r>
      </w:hyperlink>
      <w:r w:rsidR="001753D9">
        <w:rPr>
          <w:rFonts w:ascii="Arial" w:hAnsi="Arial" w:cs="Arial"/>
          <w:sz w:val="22"/>
        </w:rPr>
        <w:t>. The maximum retirement age for most Single Scheme members is age 70.</w:t>
      </w:r>
    </w:p>
    <w:p w14:paraId="52725F20" w14:textId="77777777" w:rsidR="00BB3BF6" w:rsidRDefault="00BB3BF6" w:rsidP="00940B61">
      <w:pPr>
        <w:jc w:val="both"/>
        <w:rPr>
          <w:rFonts w:ascii="Arial" w:hAnsi="Arial" w:cs="Arial"/>
          <w:color w:val="000000"/>
          <w:sz w:val="22"/>
          <w:szCs w:val="22"/>
        </w:rPr>
      </w:pPr>
    </w:p>
    <w:p w14:paraId="52725F21" w14:textId="649CFAD2" w:rsidR="00BB3BF6" w:rsidRDefault="00BB3BF6" w:rsidP="00940B61">
      <w:pPr>
        <w:pStyle w:val="Title"/>
        <w:jc w:val="both"/>
        <w:rPr>
          <w:rFonts w:ascii="Arial" w:hAnsi="Arial" w:cs="Arial"/>
          <w:b w:val="0"/>
          <w:color w:val="000000"/>
          <w:sz w:val="22"/>
          <w:szCs w:val="22"/>
          <w:lang w:val="en-IE"/>
        </w:rPr>
      </w:pPr>
      <w:r w:rsidRPr="001243EA">
        <w:rPr>
          <w:rFonts w:ascii="Arial" w:hAnsi="Arial" w:cs="Arial"/>
          <w:color w:val="000000"/>
          <w:sz w:val="22"/>
          <w:szCs w:val="22"/>
          <w:lang w:val="en-IE"/>
        </w:rPr>
        <w:t>Different terms and conditions</w:t>
      </w:r>
      <w:r w:rsidRPr="001243EA">
        <w:rPr>
          <w:rFonts w:ascii="Arial" w:hAnsi="Arial" w:cs="Arial"/>
          <w:b w:val="0"/>
          <w:color w:val="000000"/>
          <w:sz w:val="22"/>
          <w:szCs w:val="22"/>
          <w:lang w:val="en-IE"/>
        </w:rPr>
        <w:t xml:space="preserve"> </w:t>
      </w:r>
      <w:r w:rsidR="006E520B">
        <w:rPr>
          <w:rFonts w:ascii="Arial" w:hAnsi="Arial" w:cs="Arial"/>
          <w:color w:val="000000"/>
          <w:sz w:val="22"/>
          <w:szCs w:val="22"/>
          <w:lang w:val="en-IE"/>
        </w:rPr>
        <w:t xml:space="preserve">related to superannuation and retirement </w:t>
      </w:r>
      <w:r>
        <w:rPr>
          <w:rFonts w:ascii="Arial" w:hAnsi="Arial" w:cs="Arial"/>
          <w:b w:val="0"/>
          <w:color w:val="000000"/>
          <w:sz w:val="22"/>
          <w:szCs w:val="22"/>
          <w:lang w:val="en-IE"/>
        </w:rPr>
        <w:t xml:space="preserve">may </w:t>
      </w:r>
      <w:r w:rsidRPr="001243EA">
        <w:rPr>
          <w:rFonts w:ascii="Arial" w:hAnsi="Arial" w:cs="Arial"/>
          <w:b w:val="0"/>
          <w:color w:val="000000"/>
          <w:sz w:val="22"/>
          <w:szCs w:val="22"/>
          <w:lang w:val="en-IE"/>
        </w:rPr>
        <w:t xml:space="preserve">apply to </w:t>
      </w:r>
      <w:r w:rsidR="00940B61">
        <w:rPr>
          <w:rFonts w:ascii="Arial" w:hAnsi="Arial" w:cs="Arial"/>
          <w:b w:val="0"/>
          <w:color w:val="000000"/>
          <w:sz w:val="22"/>
          <w:szCs w:val="22"/>
          <w:lang w:val="en-IE"/>
        </w:rPr>
        <w:t xml:space="preserve">a </w:t>
      </w:r>
      <w:r w:rsidRPr="001243EA">
        <w:rPr>
          <w:rFonts w:ascii="Arial" w:hAnsi="Arial" w:cs="Arial"/>
          <w:b w:val="0"/>
          <w:color w:val="000000"/>
          <w:sz w:val="22"/>
          <w:szCs w:val="22"/>
          <w:lang w:val="en-IE"/>
        </w:rPr>
        <w:t>candidate</w:t>
      </w:r>
      <w:r w:rsidR="00940B61">
        <w:rPr>
          <w:rFonts w:ascii="Arial" w:hAnsi="Arial" w:cs="Arial"/>
          <w:b w:val="0"/>
          <w:color w:val="000000"/>
          <w:sz w:val="22"/>
          <w:szCs w:val="22"/>
          <w:lang w:val="en-IE"/>
        </w:rPr>
        <w:t xml:space="preserve"> where they were a member of pre-existing public service pension scheme (non-Single Scheme) after 1 January 2013 and any subsequent breaks in public service employment (either pensionable or not) have been 26 weeks or less</w:t>
      </w:r>
      <w:r w:rsidRPr="001243EA">
        <w:rPr>
          <w:rFonts w:ascii="Arial" w:hAnsi="Arial" w:cs="Arial"/>
          <w:b w:val="0"/>
          <w:color w:val="000000"/>
          <w:sz w:val="22"/>
          <w:szCs w:val="22"/>
          <w:lang w:val="en-IE"/>
        </w:rPr>
        <w:t xml:space="preserve">. The pension entitlements </w:t>
      </w:r>
      <w:r w:rsidR="000F2E33">
        <w:rPr>
          <w:rFonts w:ascii="Arial" w:hAnsi="Arial" w:cs="Arial"/>
          <w:b w:val="0"/>
          <w:color w:val="000000"/>
          <w:sz w:val="22"/>
          <w:szCs w:val="22"/>
          <w:lang w:val="en-IE"/>
        </w:rPr>
        <w:t xml:space="preserve">and maximum retirement age, if applicable, </w:t>
      </w:r>
      <w:r w:rsidRPr="001243EA">
        <w:rPr>
          <w:rFonts w:ascii="Arial" w:hAnsi="Arial" w:cs="Arial"/>
          <w:b w:val="0"/>
          <w:color w:val="000000"/>
          <w:sz w:val="22"/>
          <w:szCs w:val="22"/>
          <w:lang w:val="en-IE"/>
        </w:rPr>
        <w:t xml:space="preserve">of such appointees will be </w:t>
      </w:r>
      <w:r>
        <w:rPr>
          <w:rFonts w:ascii="Arial" w:hAnsi="Arial" w:cs="Arial"/>
          <w:b w:val="0"/>
          <w:color w:val="000000"/>
          <w:sz w:val="22"/>
          <w:szCs w:val="22"/>
          <w:lang w:val="en-IE"/>
        </w:rPr>
        <w:t xml:space="preserve">determined </w:t>
      </w:r>
      <w:r w:rsidRPr="001243EA">
        <w:rPr>
          <w:rFonts w:ascii="Arial" w:hAnsi="Arial" w:cs="Arial"/>
          <w:b w:val="0"/>
          <w:color w:val="000000"/>
          <w:sz w:val="22"/>
          <w:szCs w:val="22"/>
          <w:lang w:val="en-IE"/>
        </w:rPr>
        <w:t>in the context of their public service employment history.</w:t>
      </w:r>
    </w:p>
    <w:p w14:paraId="306980F1" w14:textId="3779F970" w:rsidR="007B47D4" w:rsidRDefault="007B47D4" w:rsidP="00940B61">
      <w:pPr>
        <w:pStyle w:val="Title"/>
        <w:jc w:val="both"/>
        <w:rPr>
          <w:rFonts w:ascii="Arial" w:hAnsi="Arial" w:cs="Arial"/>
          <w:b w:val="0"/>
          <w:color w:val="000000"/>
          <w:sz w:val="22"/>
          <w:szCs w:val="22"/>
          <w:lang w:val="en-IE"/>
        </w:rPr>
      </w:pPr>
    </w:p>
    <w:p w14:paraId="52725F22" w14:textId="77777777" w:rsidR="00375FD5" w:rsidRDefault="00375FD5" w:rsidP="00940B61">
      <w:pPr>
        <w:pStyle w:val="Title"/>
        <w:jc w:val="both"/>
        <w:rPr>
          <w:rFonts w:ascii="Arial" w:hAnsi="Arial" w:cs="Arial"/>
          <w:b w:val="0"/>
          <w:color w:val="000000"/>
          <w:sz w:val="22"/>
          <w:szCs w:val="22"/>
          <w:lang w:val="en-IE"/>
        </w:rPr>
      </w:pPr>
    </w:p>
    <w:p w14:paraId="52725F23" w14:textId="77777777" w:rsidR="00BB3BF6" w:rsidRPr="001243EA" w:rsidRDefault="00BB3BF6" w:rsidP="00940B61">
      <w:pPr>
        <w:pStyle w:val="Heading4"/>
        <w:ind w:right="0"/>
      </w:pPr>
      <w:r w:rsidRPr="001243EA">
        <w:t>IMPORTANT NOTICE</w:t>
      </w:r>
    </w:p>
    <w:p w14:paraId="52725F24" w14:textId="77777777" w:rsidR="00BB3BF6" w:rsidRPr="001243EA" w:rsidRDefault="00BB3BF6" w:rsidP="00940B61">
      <w:pPr>
        <w:pStyle w:val="Title"/>
        <w:jc w:val="both"/>
        <w:rPr>
          <w:rFonts w:ascii="Arial" w:hAnsi="Arial" w:cs="Arial"/>
          <w:bCs/>
          <w:noProof w:val="0"/>
          <w:spacing w:val="-2"/>
          <w:sz w:val="22"/>
          <w:szCs w:val="22"/>
          <w:u w:val="single"/>
          <w:lang w:val="en-IE"/>
        </w:rPr>
      </w:pPr>
    </w:p>
    <w:p w14:paraId="52725F25" w14:textId="7A48B135" w:rsidR="00BB3BF6" w:rsidRPr="001243EA" w:rsidRDefault="00BB3BF6" w:rsidP="00940B61">
      <w:pPr>
        <w:pStyle w:val="Title"/>
        <w:jc w:val="both"/>
        <w:rPr>
          <w:rFonts w:ascii="Arial" w:hAnsi="Arial" w:cs="Arial"/>
          <w:b w:val="0"/>
          <w:bCs/>
          <w:noProof w:val="0"/>
          <w:spacing w:val="-2"/>
          <w:sz w:val="22"/>
          <w:szCs w:val="22"/>
          <w:lang w:val="en-IE"/>
        </w:rPr>
      </w:pPr>
      <w:r w:rsidRPr="001243EA">
        <w:rPr>
          <w:rFonts w:ascii="Arial" w:hAnsi="Arial" w:cs="Arial"/>
          <w:b w:val="0"/>
          <w:bCs/>
          <w:noProof w:val="0"/>
          <w:spacing w:val="-2"/>
          <w:sz w:val="22"/>
          <w:szCs w:val="22"/>
          <w:lang w:val="en-IE"/>
        </w:rPr>
        <w:t xml:space="preserve">Candidates should note that different </w:t>
      </w:r>
      <w:r w:rsidR="00104616">
        <w:rPr>
          <w:rFonts w:ascii="Arial" w:hAnsi="Arial" w:cs="Arial"/>
          <w:b w:val="0"/>
          <w:bCs/>
          <w:noProof w:val="0"/>
          <w:spacing w:val="-2"/>
          <w:sz w:val="22"/>
          <w:szCs w:val="22"/>
          <w:lang w:val="en-IE"/>
        </w:rPr>
        <w:t>terms</w:t>
      </w:r>
      <w:r w:rsidRPr="001243EA">
        <w:rPr>
          <w:rFonts w:ascii="Arial" w:hAnsi="Arial" w:cs="Arial"/>
          <w:b w:val="0"/>
          <w:bCs/>
          <w:noProof w:val="0"/>
          <w:spacing w:val="-2"/>
          <w:sz w:val="22"/>
          <w:szCs w:val="22"/>
          <w:lang w:val="en-IE"/>
        </w:rPr>
        <w:t xml:space="preserve"> and conditions </w:t>
      </w:r>
      <w:r w:rsidRPr="00FB67E4">
        <w:rPr>
          <w:rFonts w:ascii="Arial" w:hAnsi="Arial" w:cs="Arial"/>
          <w:b w:val="0"/>
          <w:bCs/>
          <w:noProof w:val="0"/>
          <w:spacing w:val="-2"/>
          <w:sz w:val="22"/>
          <w:szCs w:val="22"/>
          <w:lang w:val="en-IE"/>
        </w:rPr>
        <w:t>may</w:t>
      </w:r>
      <w:r w:rsidRPr="001243EA">
        <w:rPr>
          <w:rFonts w:ascii="Arial" w:hAnsi="Arial" w:cs="Arial"/>
          <w:b w:val="0"/>
          <w:bCs/>
          <w:noProof w:val="0"/>
          <w:spacing w:val="-2"/>
          <w:sz w:val="22"/>
          <w:szCs w:val="22"/>
          <w:lang w:val="en-IE"/>
        </w:rPr>
        <w:t xml:space="preserve"> apply if, </w:t>
      </w:r>
      <w:r w:rsidRPr="001243EA">
        <w:rPr>
          <w:rFonts w:ascii="Arial" w:hAnsi="Arial" w:cs="Arial"/>
          <w:bCs/>
          <w:noProof w:val="0"/>
          <w:spacing w:val="-2"/>
          <w:sz w:val="22"/>
          <w:szCs w:val="22"/>
          <w:u w:val="single"/>
          <w:lang w:val="en-IE"/>
        </w:rPr>
        <w:t>immediately prior to appointment</w:t>
      </w:r>
      <w:r w:rsidRPr="001243EA">
        <w:rPr>
          <w:rFonts w:ascii="Arial" w:hAnsi="Arial" w:cs="Arial"/>
          <w:b w:val="0"/>
          <w:bCs/>
          <w:noProof w:val="0"/>
          <w:spacing w:val="-2"/>
          <w:sz w:val="22"/>
          <w:szCs w:val="22"/>
          <w:lang w:val="en-IE"/>
        </w:rPr>
        <w:t>, the appointee is already a serving civil or public servant.</w:t>
      </w:r>
    </w:p>
    <w:p w14:paraId="52725F26" w14:textId="77777777" w:rsidR="00BB3BF6" w:rsidRPr="001243EA" w:rsidRDefault="00BB3BF6" w:rsidP="00940B61">
      <w:pPr>
        <w:pStyle w:val="Title"/>
        <w:jc w:val="both"/>
        <w:rPr>
          <w:rFonts w:ascii="Arial" w:hAnsi="Arial" w:cs="Arial"/>
          <w:b w:val="0"/>
          <w:bCs/>
          <w:noProof w:val="0"/>
          <w:spacing w:val="-2"/>
          <w:sz w:val="22"/>
          <w:szCs w:val="22"/>
          <w:lang w:val="en-IE"/>
        </w:rPr>
      </w:pPr>
    </w:p>
    <w:p w14:paraId="0DDDFC8F" w14:textId="7E18CB6E" w:rsidR="007B47D4" w:rsidRDefault="00BB3BF6" w:rsidP="00940B61">
      <w:pPr>
        <w:pStyle w:val="Title"/>
        <w:jc w:val="both"/>
        <w:rPr>
          <w:rFonts w:ascii="Arial" w:hAnsi="Arial" w:cs="Arial"/>
          <w:bCs/>
          <w:noProof w:val="0"/>
          <w:spacing w:val="-2"/>
          <w:sz w:val="22"/>
          <w:szCs w:val="22"/>
          <w:lang w:val="en-IE"/>
        </w:rPr>
      </w:pPr>
      <w:r w:rsidRPr="00BB3BF6">
        <w:rPr>
          <w:rFonts w:ascii="Arial" w:hAnsi="Arial" w:cs="Arial"/>
          <w:bCs/>
          <w:noProof w:val="0"/>
          <w:spacing w:val="-2"/>
          <w:sz w:val="22"/>
          <w:szCs w:val="22"/>
          <w:lang w:val="en-IE"/>
        </w:rPr>
        <w:t>The above outlines the principal conditions of service and is not intended to be a comprehensive list of all terms and conditions of employment which will be set out in the employment contract to be agreed with the successful candidate.</w:t>
      </w:r>
    </w:p>
    <w:p w14:paraId="351CB5E3" w14:textId="60759377" w:rsidR="006204A4" w:rsidRPr="00D41B32" w:rsidRDefault="007B47D4" w:rsidP="00940B61">
      <w:pPr>
        <w:spacing w:after="160" w:line="259" w:lineRule="auto"/>
        <w:jc w:val="both"/>
        <w:rPr>
          <w:rFonts w:ascii="Arial" w:hAnsi="Arial" w:cs="Arial"/>
          <w:b/>
          <w:bCs/>
          <w:noProof w:val="0"/>
          <w:spacing w:val="-2"/>
          <w:sz w:val="22"/>
          <w:szCs w:val="22"/>
        </w:rPr>
      </w:pPr>
      <w:r>
        <w:rPr>
          <w:rFonts w:ascii="Arial" w:hAnsi="Arial" w:cs="Arial"/>
          <w:bCs/>
          <w:noProof w:val="0"/>
          <w:spacing w:val="-2"/>
          <w:sz w:val="22"/>
          <w:szCs w:val="22"/>
        </w:rPr>
        <w:br w:type="page"/>
      </w:r>
    </w:p>
    <w:p w14:paraId="1ECA8EDE" w14:textId="3E36B7E0" w:rsidR="00F0631D" w:rsidRPr="001243EA" w:rsidRDefault="00F0631D" w:rsidP="00940B61">
      <w:pPr>
        <w:pStyle w:val="Heading1"/>
        <w:numPr>
          <w:ilvl w:val="0"/>
          <w:numId w:val="0"/>
        </w:numPr>
        <w:ind w:left="720"/>
        <w:jc w:val="both"/>
        <w:rPr>
          <w:bCs/>
        </w:rPr>
      </w:pPr>
      <w:r>
        <w:lastRenderedPageBreak/>
        <w:t>Eligibility</w:t>
      </w:r>
    </w:p>
    <w:p w14:paraId="57B4FA73" w14:textId="77777777" w:rsidR="00162409" w:rsidRDefault="00162409" w:rsidP="00940B61">
      <w:pPr>
        <w:jc w:val="both"/>
      </w:pPr>
    </w:p>
    <w:p w14:paraId="27CC4841" w14:textId="72F4E08E" w:rsidR="00CA6E92" w:rsidRDefault="00CA6E92" w:rsidP="00940B61">
      <w:pPr>
        <w:pBdr>
          <w:top w:val="single" w:sz="4" w:space="1" w:color="auto"/>
          <w:left w:val="single" w:sz="4" w:space="4" w:color="auto"/>
          <w:bottom w:val="single" w:sz="4" w:space="1" w:color="auto"/>
          <w:right w:val="single" w:sz="4" w:space="4" w:color="auto"/>
        </w:pBdr>
        <w:shd w:val="clear" w:color="auto" w:fill="FFC000"/>
        <w:jc w:val="both"/>
      </w:pPr>
      <w:r>
        <w:rPr>
          <w:rFonts w:ascii="Arial" w:hAnsi="Arial" w:cs="Arial"/>
          <w:sz w:val="24"/>
        </w:rPr>
        <w:t>Eligibility criteria is a matter for the NCSB to determine in consultation with its Parent Department. The granting of work permits is a matter for the Department of Business, Enterprise and Innovation.</w:t>
      </w:r>
    </w:p>
    <w:p w14:paraId="561B57BC" w14:textId="77777777" w:rsidR="006204A4" w:rsidRDefault="006204A4" w:rsidP="00940B61">
      <w:pPr>
        <w:jc w:val="both"/>
        <w:rPr>
          <w:rFonts w:ascii="Arial" w:hAnsi="Arial" w:cs="Arial"/>
          <w:b/>
          <w:color w:val="000000"/>
          <w:sz w:val="22"/>
          <w:szCs w:val="22"/>
          <w:u w:val="single"/>
        </w:rPr>
      </w:pPr>
    </w:p>
    <w:p w14:paraId="7701251D" w14:textId="7A23E28C" w:rsidR="00F0631D" w:rsidRDefault="00FB47B6" w:rsidP="00940B61">
      <w:pPr>
        <w:pStyle w:val="Heading4"/>
        <w:ind w:right="0"/>
      </w:pPr>
      <w:r>
        <w:t>Citizenship</w:t>
      </w:r>
    </w:p>
    <w:p w14:paraId="4DB70DB8" w14:textId="77777777" w:rsidR="00FB47B6" w:rsidRDefault="00FB47B6" w:rsidP="00940B61">
      <w:pPr>
        <w:jc w:val="both"/>
        <w:rPr>
          <w:rFonts w:ascii="Arial" w:hAnsi="Arial" w:cs="Arial"/>
          <w:iCs/>
          <w:color w:val="000000"/>
          <w:sz w:val="22"/>
          <w:szCs w:val="22"/>
        </w:rPr>
      </w:pPr>
    </w:p>
    <w:p w14:paraId="620EA280" w14:textId="7DB7D533" w:rsidR="00F0631D" w:rsidRPr="0006050D" w:rsidRDefault="0006050D" w:rsidP="00940B61">
      <w:pPr>
        <w:jc w:val="both"/>
        <w:rPr>
          <w:rFonts w:ascii="Arial" w:hAnsi="Arial" w:cs="Arial"/>
          <w:iCs/>
          <w:color w:val="000000"/>
          <w:sz w:val="22"/>
          <w:szCs w:val="22"/>
        </w:rPr>
      </w:pPr>
      <w:r w:rsidRPr="00FB47B6">
        <w:rPr>
          <w:rFonts w:ascii="Arial" w:hAnsi="Arial" w:cs="Arial"/>
          <w:iCs/>
          <w:color w:val="000000"/>
          <w:sz w:val="22"/>
          <w:szCs w:val="22"/>
        </w:rPr>
        <w:t xml:space="preserve">Candidates should note that eligibility to compete for posts is </w:t>
      </w:r>
      <w:r w:rsidR="00F2205A">
        <w:rPr>
          <w:rFonts w:ascii="Arial" w:hAnsi="Arial" w:cs="Arial"/>
          <w:iCs/>
          <w:color w:val="000000"/>
          <w:sz w:val="22"/>
          <w:szCs w:val="22"/>
        </w:rPr>
        <w:t xml:space="preserve">confined </w:t>
      </w:r>
      <w:r w:rsidRPr="00FB47B6">
        <w:rPr>
          <w:rFonts w:ascii="Arial" w:hAnsi="Arial" w:cs="Arial"/>
          <w:iCs/>
          <w:color w:val="000000"/>
          <w:sz w:val="22"/>
          <w:szCs w:val="22"/>
        </w:rPr>
        <w:t>to citizens of the European Economic Area (EEA) or to non-EEA nationals with a valid work permit. The EEA consists of the Member States of the European Union along with Iceland, Liechtenstein and Norway. Swiss citizens under EU agreements may also apply.</w:t>
      </w:r>
    </w:p>
    <w:p w14:paraId="0A21DD37" w14:textId="77777777" w:rsidR="0006050D" w:rsidRDefault="0006050D" w:rsidP="00940B61">
      <w:pPr>
        <w:jc w:val="both"/>
        <w:rPr>
          <w:rFonts w:ascii="Arial" w:hAnsi="Arial" w:cs="Arial"/>
          <w:b/>
          <w:color w:val="000000"/>
          <w:sz w:val="22"/>
          <w:szCs w:val="22"/>
          <w:u w:val="single"/>
        </w:rPr>
      </w:pPr>
    </w:p>
    <w:p w14:paraId="2F6693FF" w14:textId="77777777" w:rsidR="00F530F1" w:rsidRPr="00F86FD4" w:rsidRDefault="00F530F1" w:rsidP="00940B61">
      <w:pPr>
        <w:pStyle w:val="Heading4"/>
        <w:ind w:right="0"/>
      </w:pPr>
      <w:r w:rsidRPr="00F86FD4">
        <w:t>Certain Restrictions on Eligibility</w:t>
      </w:r>
    </w:p>
    <w:p w14:paraId="0D485DB4" w14:textId="77777777" w:rsidR="00F530F1" w:rsidRPr="001243EA" w:rsidRDefault="00F530F1" w:rsidP="00940B61">
      <w:pPr>
        <w:jc w:val="both"/>
        <w:rPr>
          <w:rFonts w:ascii="Arial" w:hAnsi="Arial" w:cs="Arial"/>
          <w:b/>
          <w:sz w:val="22"/>
          <w:szCs w:val="22"/>
        </w:rPr>
      </w:pPr>
    </w:p>
    <w:p w14:paraId="48DAE24A" w14:textId="77777777" w:rsidR="00940B61" w:rsidRPr="002D7011" w:rsidRDefault="00940B61" w:rsidP="00940B61">
      <w:pPr>
        <w:jc w:val="both"/>
        <w:rPr>
          <w:rFonts w:ascii="Arial" w:hAnsi="Arial" w:cs="Arial"/>
          <w:color w:val="000000"/>
          <w:sz w:val="22"/>
          <w:szCs w:val="22"/>
        </w:rPr>
      </w:pPr>
      <w:r w:rsidRPr="002D7011">
        <w:rPr>
          <w:rFonts w:ascii="Arial" w:hAnsi="Arial" w:cs="Arial"/>
          <w:color w:val="000000"/>
          <w:sz w:val="22"/>
          <w:szCs w:val="22"/>
        </w:rPr>
        <w:t xml:space="preserve">Applicants </w:t>
      </w:r>
      <w:r>
        <w:rPr>
          <w:rFonts w:ascii="Arial" w:hAnsi="Arial" w:cs="Arial"/>
          <w:color w:val="000000"/>
          <w:sz w:val="22"/>
          <w:szCs w:val="22"/>
        </w:rPr>
        <w:t xml:space="preserve">are required </w:t>
      </w:r>
      <w:r w:rsidRPr="002D7011">
        <w:rPr>
          <w:rFonts w:ascii="Arial" w:hAnsi="Arial" w:cs="Arial"/>
          <w:color w:val="000000"/>
          <w:sz w:val="22"/>
          <w:szCs w:val="22"/>
        </w:rPr>
        <w:t xml:space="preserve">to declare whether they have previously availed of a Public Service scheme of incentivised early retirement/redundancy and the Department of Public Expenditure are Reform should be consulted in order to assess eligibility for appointment on foot of this. Examples of restriction on eligibility on foot of such schemes include: </w:t>
      </w:r>
    </w:p>
    <w:p w14:paraId="10281CEF" w14:textId="77777777" w:rsidR="00940B61" w:rsidRPr="002D7011" w:rsidRDefault="00940B61" w:rsidP="00940B61">
      <w:pPr>
        <w:jc w:val="both"/>
        <w:rPr>
          <w:rFonts w:ascii="Arial" w:hAnsi="Arial" w:cs="Arial"/>
          <w:sz w:val="22"/>
          <w:szCs w:val="22"/>
        </w:rPr>
      </w:pPr>
    </w:p>
    <w:p w14:paraId="6DEAAD73" w14:textId="77777777" w:rsidR="00940B61" w:rsidRPr="002D7011" w:rsidRDefault="00940B61" w:rsidP="00940B61">
      <w:pPr>
        <w:pStyle w:val="ListParagraph"/>
        <w:numPr>
          <w:ilvl w:val="0"/>
          <w:numId w:val="3"/>
        </w:numPr>
        <w:jc w:val="both"/>
        <w:rPr>
          <w:rFonts w:ascii="Arial" w:hAnsi="Arial" w:cs="Arial"/>
          <w:color w:val="000000"/>
          <w:sz w:val="22"/>
          <w:szCs w:val="22"/>
        </w:rPr>
      </w:pPr>
      <w:r w:rsidRPr="002D7011">
        <w:rPr>
          <w:rFonts w:ascii="Arial" w:hAnsi="Arial" w:cs="Arial"/>
          <w:sz w:val="22"/>
          <w:szCs w:val="22"/>
          <w:u w:val="single"/>
        </w:rPr>
        <w:t xml:space="preserve">Collective Agreement Redundancy Payments to Public </w:t>
      </w:r>
      <w:r w:rsidRPr="002D7011">
        <w:rPr>
          <w:rFonts w:ascii="Arial" w:hAnsi="Arial" w:cs="Arial"/>
          <w:color w:val="000000"/>
          <w:sz w:val="22"/>
          <w:szCs w:val="22"/>
        </w:rPr>
        <w:t xml:space="preserve">Servants: 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 </w:t>
      </w:r>
    </w:p>
    <w:p w14:paraId="5F0D108F" w14:textId="77777777" w:rsidR="00940B61" w:rsidRPr="002D7011" w:rsidRDefault="00940B61" w:rsidP="00940B61">
      <w:pPr>
        <w:jc w:val="both"/>
        <w:rPr>
          <w:rFonts w:ascii="Arial" w:hAnsi="Arial" w:cs="Arial"/>
          <w:sz w:val="22"/>
          <w:szCs w:val="22"/>
        </w:rPr>
      </w:pPr>
    </w:p>
    <w:p w14:paraId="13411A7D" w14:textId="77777777" w:rsidR="00940B61" w:rsidRPr="002D7011" w:rsidRDefault="00940B61" w:rsidP="00940B61">
      <w:pPr>
        <w:pStyle w:val="ListParagraph"/>
        <w:numPr>
          <w:ilvl w:val="0"/>
          <w:numId w:val="3"/>
        </w:numPr>
        <w:jc w:val="both"/>
        <w:rPr>
          <w:rFonts w:ascii="Arial" w:hAnsi="Arial" w:cs="Arial"/>
          <w:sz w:val="22"/>
          <w:szCs w:val="22"/>
        </w:rPr>
      </w:pPr>
      <w:r w:rsidRPr="002D7011">
        <w:rPr>
          <w:rFonts w:ascii="Arial" w:hAnsi="Arial" w:cs="Arial"/>
          <w:sz w:val="22"/>
          <w:szCs w:val="22"/>
          <w:u w:val="single"/>
        </w:rPr>
        <w:t>Incentivised Scheme for Early Retirement (ISER):</w:t>
      </w:r>
      <w:r w:rsidRPr="002D7011">
        <w:rPr>
          <w:rFonts w:ascii="Arial" w:hAnsi="Arial" w:cs="Arial"/>
          <w:sz w:val="22"/>
          <w:szCs w:val="22"/>
        </w:rPr>
        <w:t xml:space="preserve"> It is a condition of the Incentivised Scheme for Early Retirement (ISER) as set out in </w:t>
      </w:r>
      <w:hyperlink r:id="rId13" w:history="1">
        <w:r w:rsidRPr="002D7011">
          <w:rPr>
            <w:rStyle w:val="Hyperlink"/>
            <w:rFonts w:ascii="Arial" w:hAnsi="Arial" w:cs="Arial"/>
            <w:sz w:val="22"/>
            <w:szCs w:val="22"/>
          </w:rPr>
          <w:t>Department of Finance Circular 12/09</w:t>
        </w:r>
      </w:hyperlink>
      <w:r w:rsidRPr="002D7011">
        <w:rPr>
          <w:rFonts w:ascii="Arial" w:hAnsi="Arial" w:cs="Arial"/>
          <w:sz w:val="22"/>
          <w:szCs w:val="22"/>
        </w:rPr>
        <w:t xml:space="preserve"> that retirees, under that Scheme, are not eligible to apply for another position in the same employment or the same sector e.g. a civil servant who retired under this scheme will be ineligible for re-employment in the civil service at a future date, save for in exceptional circumstances in line with terms outlined in paragraph 15 of that Scheme and with sanction from the Department of Public Expenditure and Reform.</w:t>
      </w:r>
    </w:p>
    <w:p w14:paraId="43A1ED66" w14:textId="77777777" w:rsidR="00940B61" w:rsidRPr="002D7011" w:rsidRDefault="00940B61" w:rsidP="00940B61">
      <w:pPr>
        <w:jc w:val="both"/>
        <w:rPr>
          <w:rFonts w:ascii="Arial" w:hAnsi="Arial" w:cs="Arial"/>
          <w:sz w:val="22"/>
          <w:szCs w:val="22"/>
        </w:rPr>
      </w:pPr>
    </w:p>
    <w:p w14:paraId="361D408A" w14:textId="77777777" w:rsidR="00940B61" w:rsidRPr="002D7011" w:rsidRDefault="00940B61" w:rsidP="00940B61">
      <w:pPr>
        <w:pStyle w:val="ListParagraph"/>
        <w:numPr>
          <w:ilvl w:val="0"/>
          <w:numId w:val="3"/>
        </w:numPr>
        <w:jc w:val="both"/>
        <w:rPr>
          <w:rFonts w:ascii="Arial" w:hAnsi="Arial" w:cs="Arial"/>
          <w:sz w:val="22"/>
          <w:szCs w:val="22"/>
        </w:rPr>
      </w:pPr>
      <w:r w:rsidRPr="002D7011">
        <w:rPr>
          <w:rFonts w:ascii="Arial" w:hAnsi="Arial" w:cs="Arial"/>
          <w:sz w:val="22"/>
          <w:szCs w:val="22"/>
          <w:u w:val="single"/>
        </w:rPr>
        <w:t>Department of Health and Children Circular (7/2010</w:t>
      </w:r>
      <w:r w:rsidRPr="002D7011">
        <w:rPr>
          <w:rFonts w:ascii="Arial" w:hAnsi="Arial" w:cs="Arial"/>
          <w:sz w:val="22"/>
          <w:szCs w:val="22"/>
        </w:rPr>
        <w:t xml:space="preserve">): 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On foot of this: people who availed of the VER scheme are not eligible for appointment and people who availed of the VRS scheme and who may be successful in a competition will have to prove their eligibility (expiry of period of non-eligibility). </w:t>
      </w:r>
    </w:p>
    <w:p w14:paraId="1B41C9D9" w14:textId="77777777" w:rsidR="00940B61" w:rsidRPr="002D7011" w:rsidRDefault="00940B61" w:rsidP="00940B61">
      <w:pPr>
        <w:pStyle w:val="ListParagraph"/>
        <w:jc w:val="both"/>
        <w:rPr>
          <w:rFonts w:ascii="Arial" w:hAnsi="Arial" w:cs="Arial"/>
          <w:sz w:val="22"/>
          <w:szCs w:val="22"/>
        </w:rPr>
      </w:pPr>
    </w:p>
    <w:p w14:paraId="45E949E5" w14:textId="77777777" w:rsidR="00940B61" w:rsidRPr="002D7011" w:rsidRDefault="00940B61" w:rsidP="00940B61">
      <w:pPr>
        <w:numPr>
          <w:ilvl w:val="0"/>
          <w:numId w:val="3"/>
        </w:numPr>
        <w:jc w:val="both"/>
        <w:rPr>
          <w:rFonts w:ascii="Arial" w:hAnsi="Arial" w:cs="Arial"/>
          <w:sz w:val="22"/>
          <w:szCs w:val="22"/>
        </w:rPr>
      </w:pPr>
      <w:r w:rsidRPr="002D7011">
        <w:rPr>
          <w:rFonts w:ascii="Arial" w:hAnsi="Arial" w:cs="Arial"/>
          <w:sz w:val="22"/>
          <w:szCs w:val="22"/>
          <w:u w:val="single"/>
        </w:rPr>
        <w:t>Department of Health Circular (4/20103):</w:t>
      </w:r>
      <w:r w:rsidRPr="002D7011">
        <w:rPr>
          <w:rFonts w:ascii="Arial" w:hAnsi="Arial" w:cs="Arial"/>
          <w:sz w:val="22"/>
          <w:szCs w:val="22"/>
        </w:rPr>
        <w:t xml:space="preserve"> The Department of Health Circular 4/2013 dated 1 May 2013 introduced the Employment Control Framework Numbers Reduction Measures 2013 Targeted Voluntary Redundancy (VR) Scheme. In accordance with </w:t>
      </w:r>
      <w:r w:rsidRPr="002D7011">
        <w:rPr>
          <w:rFonts w:ascii="Arial" w:hAnsi="Arial" w:cs="Arial"/>
          <w:sz w:val="22"/>
          <w:szCs w:val="22"/>
        </w:rPr>
        <w:lastRenderedPageBreak/>
        <w:t xml:space="preserve">the terms of the Collective Agreement: Redundancy Payments to Public Servants dated 28 June 2012 as detailed above, it is a specific condition of that VR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21C4BBA5" w14:textId="77777777" w:rsidR="00940B61" w:rsidRPr="002D7011" w:rsidRDefault="00940B61" w:rsidP="00940B61">
      <w:pPr>
        <w:pStyle w:val="ListParagraph"/>
        <w:jc w:val="both"/>
        <w:rPr>
          <w:rFonts w:ascii="Arial" w:hAnsi="Arial" w:cs="Arial"/>
          <w:sz w:val="22"/>
          <w:szCs w:val="22"/>
        </w:rPr>
      </w:pPr>
    </w:p>
    <w:p w14:paraId="135F8089" w14:textId="77777777" w:rsidR="00940B61" w:rsidRPr="002D7011" w:rsidRDefault="00940B61" w:rsidP="00940B61">
      <w:pPr>
        <w:pStyle w:val="ListParagraph"/>
        <w:numPr>
          <w:ilvl w:val="0"/>
          <w:numId w:val="3"/>
        </w:numPr>
        <w:jc w:val="both"/>
        <w:rPr>
          <w:rFonts w:ascii="Arial" w:hAnsi="Arial" w:cs="Arial"/>
          <w:sz w:val="22"/>
          <w:szCs w:val="22"/>
        </w:rPr>
      </w:pPr>
      <w:r w:rsidRPr="002D7011">
        <w:rPr>
          <w:rFonts w:ascii="Arial" w:hAnsi="Arial" w:cs="Arial"/>
          <w:sz w:val="22"/>
          <w:szCs w:val="22"/>
          <w:u w:val="single"/>
        </w:rPr>
        <w:t>Department of Environment, Community &amp; Local Government (Circular Letter LG(P) 06/2013 updated by Circular Letter LG(P) 7/2013):</w:t>
      </w:r>
      <w:r w:rsidRPr="002D7011">
        <w:rPr>
          <w:rFonts w:ascii="Arial" w:hAnsi="Arial" w:cs="Arial"/>
          <w:sz w:val="22"/>
          <w:szCs w:val="22"/>
        </w:rPr>
        <w:t xml:space="preserve"> The Department of Environment, Community &amp; Local Government Circular Letter LG(P) 06/2013 introduced a Voluntary Redundancy Scheme for Local Authorities, with updates in Circular Letter LG(P) 7/2013.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25F6ACC2" w14:textId="77777777" w:rsidR="00F530F1" w:rsidRPr="001A274D" w:rsidRDefault="00F530F1" w:rsidP="00F530F1">
      <w:pPr>
        <w:pStyle w:val="Title"/>
        <w:jc w:val="both"/>
        <w:rPr>
          <w:rFonts w:ascii="Arial" w:hAnsi="Arial" w:cs="Arial"/>
          <w:bCs/>
          <w:noProof w:val="0"/>
          <w:spacing w:val="-2"/>
          <w:sz w:val="22"/>
          <w:szCs w:val="22"/>
          <w:lang w:val="en-IE"/>
        </w:rPr>
      </w:pPr>
    </w:p>
    <w:p w14:paraId="120E5E28" w14:textId="3E8BFDAA" w:rsidR="00F530F1" w:rsidRDefault="00F530F1" w:rsidP="00F530F1"/>
    <w:p w14:paraId="787946F3" w14:textId="401DA6DC" w:rsidR="00437937" w:rsidRDefault="00437937" w:rsidP="00437937"/>
    <w:p w14:paraId="1FF97581" w14:textId="77777777" w:rsidR="00437937" w:rsidRDefault="00437937" w:rsidP="00437937"/>
    <w:p w14:paraId="0A6EDE9A" w14:textId="60D0A49C" w:rsidR="00F0631D" w:rsidRDefault="00F0631D">
      <w:pPr>
        <w:spacing w:after="160" w:line="259" w:lineRule="auto"/>
      </w:pPr>
      <w:r>
        <w:br w:type="page"/>
      </w:r>
    </w:p>
    <w:p w14:paraId="62B16114" w14:textId="77777777" w:rsidR="00F0631D" w:rsidRDefault="00F0631D" w:rsidP="00F0631D">
      <w:pPr>
        <w:pBdr>
          <w:top w:val="single" w:sz="4" w:space="1" w:color="auto"/>
          <w:left w:val="single" w:sz="4" w:space="4" w:color="auto"/>
          <w:bottom w:val="single" w:sz="4" w:space="1" w:color="auto"/>
          <w:right w:val="single" w:sz="4" w:space="4" w:color="auto"/>
        </w:pBdr>
        <w:shd w:val="clear" w:color="auto" w:fill="FFC000"/>
      </w:pPr>
      <w:r>
        <w:rPr>
          <w:rFonts w:ascii="Arial" w:hAnsi="Arial" w:cs="Arial"/>
          <w:sz w:val="24"/>
        </w:rPr>
        <w:lastRenderedPageBreak/>
        <w:t xml:space="preserve">Below are further additional terms and conditions of entry that Non-Commercial State Bodies and/or parent Departments may wish to include as an Appendix. </w:t>
      </w:r>
    </w:p>
    <w:p w14:paraId="6F193D08" w14:textId="202EE852" w:rsidR="00CA6E92" w:rsidRPr="001243EA" w:rsidRDefault="00CA6E92" w:rsidP="00CA6E92">
      <w:pPr>
        <w:pStyle w:val="Heading1"/>
        <w:numPr>
          <w:ilvl w:val="0"/>
          <w:numId w:val="0"/>
        </w:numPr>
        <w:ind w:left="720"/>
        <w:rPr>
          <w:bCs/>
        </w:rPr>
      </w:pPr>
      <w:r>
        <w:t>Additional Conditions of Service</w:t>
      </w:r>
    </w:p>
    <w:p w14:paraId="3F47E211" w14:textId="77777777" w:rsidR="00437937" w:rsidRDefault="00437937" w:rsidP="00437937"/>
    <w:p w14:paraId="6621292F" w14:textId="77777777" w:rsidR="00CA6E92" w:rsidRDefault="00CA6E92" w:rsidP="00437937"/>
    <w:p w14:paraId="2C677970" w14:textId="353B0597" w:rsidR="00F86FD4" w:rsidRDefault="00464EF4" w:rsidP="00F530F1">
      <w:pPr>
        <w:pStyle w:val="Heading4"/>
      </w:pPr>
      <w:r>
        <w:t>Additional Superannuation Contribution</w:t>
      </w:r>
    </w:p>
    <w:p w14:paraId="4D59473D" w14:textId="77777777" w:rsidR="00464EF4" w:rsidRPr="007B47D4" w:rsidRDefault="00464EF4" w:rsidP="00F86FD4">
      <w:pPr>
        <w:jc w:val="both"/>
        <w:rPr>
          <w:rFonts w:ascii="Arial" w:hAnsi="Arial" w:cs="Arial"/>
          <w:b/>
          <w:color w:val="000000"/>
          <w:sz w:val="22"/>
          <w:szCs w:val="22"/>
          <w:u w:val="single"/>
        </w:rPr>
      </w:pPr>
    </w:p>
    <w:p w14:paraId="5D127CF5" w14:textId="77777777" w:rsidR="00940B61" w:rsidRPr="002D7011" w:rsidRDefault="00940B61" w:rsidP="00940B61">
      <w:pPr>
        <w:jc w:val="both"/>
        <w:rPr>
          <w:rFonts w:ascii="Arial" w:hAnsi="Arial" w:cs="Arial"/>
          <w:color w:val="000000"/>
          <w:sz w:val="24"/>
          <w:szCs w:val="24"/>
        </w:rPr>
      </w:pPr>
      <w:r w:rsidRPr="002D7011">
        <w:rPr>
          <w:rFonts w:ascii="Arial" w:hAnsi="Arial" w:cs="Arial"/>
          <w:color w:val="000000"/>
          <w:sz w:val="24"/>
          <w:szCs w:val="24"/>
        </w:rPr>
        <w:t>Successful candidates who are members of a public service pension scheme are subject to the Additional Superannuation Contribution (ASC) in accordance with the Public Service Pay and Pensions Act 2017. The ASC is in addition to any personal pension contributions (otherwise known as main scheme contributions) and Spouses’ and Children’s Scheme contributions that are payable in the accordance with the rules of any pension scheme.</w:t>
      </w:r>
    </w:p>
    <w:p w14:paraId="05A8482A" w14:textId="77777777" w:rsidR="00464EF4" w:rsidRDefault="00464EF4" w:rsidP="00464EF4">
      <w:pPr>
        <w:jc w:val="both"/>
        <w:rPr>
          <w:rFonts w:ascii="Arial" w:hAnsi="Arial" w:cs="Arial"/>
          <w:color w:val="000000"/>
          <w:sz w:val="22"/>
          <w:szCs w:val="22"/>
        </w:rPr>
      </w:pPr>
    </w:p>
    <w:p w14:paraId="752BEB22" w14:textId="6A40BE4D" w:rsidR="00464EF4" w:rsidRDefault="00940B61" w:rsidP="00F530F1">
      <w:pPr>
        <w:pStyle w:val="Heading4"/>
      </w:pPr>
      <w:r>
        <w:t xml:space="preserve">Limitation on </w:t>
      </w:r>
      <w:r w:rsidR="00464EF4">
        <w:t>Pension Accrual</w:t>
      </w:r>
    </w:p>
    <w:p w14:paraId="30193A69" w14:textId="77777777" w:rsidR="00464EF4" w:rsidRDefault="00464EF4" w:rsidP="00F86FD4">
      <w:pPr>
        <w:pStyle w:val="Title"/>
        <w:jc w:val="both"/>
        <w:rPr>
          <w:rFonts w:ascii="Arial" w:hAnsi="Arial" w:cs="Arial"/>
          <w:b w:val="0"/>
          <w:color w:val="000000"/>
          <w:sz w:val="22"/>
          <w:szCs w:val="22"/>
          <w:lang w:val="en-IE"/>
        </w:rPr>
      </w:pPr>
    </w:p>
    <w:p w14:paraId="12AEBEDC" w14:textId="7C34B0C1" w:rsidR="00940B61" w:rsidRPr="002D7011" w:rsidRDefault="00940B61" w:rsidP="00940B61">
      <w:pPr>
        <w:jc w:val="both"/>
        <w:rPr>
          <w:rFonts w:ascii="Arial" w:hAnsi="Arial" w:cs="Arial"/>
          <w:color w:val="000000"/>
          <w:sz w:val="24"/>
          <w:szCs w:val="24"/>
        </w:rPr>
      </w:pPr>
      <w:r w:rsidRPr="002D7011">
        <w:rPr>
          <w:rFonts w:ascii="Arial" w:hAnsi="Arial" w:cs="Arial"/>
          <w:color w:val="000000"/>
          <w:sz w:val="24"/>
          <w:szCs w:val="24"/>
        </w:rPr>
        <w:t xml:space="preserve">Section 52(6) of the Public Service Pensions (Single Scheme and Other Provisions) Act, 2012 limits the amount of pensionable service an individual may accrue across all pre-existing public service schemes (non-Single Scheme terms) to a maximum of forty years or equivalent; where pensionable service exceeds forty years on 28 July 2012, section 52(7) provides that they may retain the benefit of that service. This may have implications if the appointee acquired pension rights in a previous public service employment. Department of Public Expenditure &amp; Reform Circular 13/2020, which is available on the website </w:t>
      </w:r>
      <w:hyperlink r:id="rId14" w:history="1">
        <w:r w:rsidRPr="002D7011">
          <w:rPr>
            <w:rFonts w:ascii="Arial" w:hAnsi="Arial" w:cs="Arial"/>
            <w:color w:val="000000"/>
            <w:sz w:val="24"/>
            <w:szCs w:val="24"/>
          </w:rPr>
          <w:t>https://www.gov.ie/en/circulars/</w:t>
        </w:r>
      </w:hyperlink>
      <w:r w:rsidRPr="002D7011">
        <w:rPr>
          <w:rFonts w:ascii="Arial" w:hAnsi="Arial" w:cs="Arial"/>
          <w:color w:val="000000"/>
          <w:sz w:val="24"/>
          <w:szCs w:val="24"/>
        </w:rPr>
        <w:t>, provides guidance on the method of calculating pension entitlements in such cases</w:t>
      </w:r>
      <w:r>
        <w:rPr>
          <w:rFonts w:ascii="Arial" w:hAnsi="Arial" w:cs="Arial"/>
          <w:color w:val="000000"/>
          <w:sz w:val="24"/>
          <w:szCs w:val="24"/>
        </w:rPr>
        <w:t>.</w:t>
      </w:r>
    </w:p>
    <w:p w14:paraId="296E54A2" w14:textId="77777777" w:rsidR="00464EF4" w:rsidRDefault="00464EF4" w:rsidP="00464EF4">
      <w:pPr>
        <w:pStyle w:val="Title"/>
        <w:jc w:val="both"/>
        <w:rPr>
          <w:rFonts w:ascii="Arial" w:hAnsi="Arial" w:cs="Arial"/>
          <w:b w:val="0"/>
          <w:color w:val="000000"/>
          <w:sz w:val="22"/>
          <w:szCs w:val="22"/>
          <w:lang w:val="en-IE"/>
        </w:rPr>
      </w:pPr>
    </w:p>
    <w:p w14:paraId="36599772" w14:textId="6BCCE50A" w:rsidR="00464EF4" w:rsidRDefault="00940B61" w:rsidP="00F530F1">
      <w:pPr>
        <w:pStyle w:val="Heading4"/>
      </w:pPr>
      <w:r>
        <w:t xml:space="preserve">Previous Public Service Pension Entitlements and </w:t>
      </w:r>
      <w:r w:rsidR="00464EF4">
        <w:t>Pension Abatement</w:t>
      </w:r>
    </w:p>
    <w:p w14:paraId="7F63878F" w14:textId="77777777" w:rsidR="00464EF4" w:rsidRDefault="00464EF4" w:rsidP="00464EF4">
      <w:pPr>
        <w:pStyle w:val="Title"/>
        <w:jc w:val="both"/>
        <w:rPr>
          <w:rFonts w:ascii="Arial" w:hAnsi="Arial" w:cs="Arial"/>
          <w:color w:val="000000"/>
          <w:sz w:val="22"/>
          <w:szCs w:val="22"/>
          <w:u w:val="single"/>
          <w:lang w:val="en-IE"/>
        </w:rPr>
      </w:pPr>
    </w:p>
    <w:p w14:paraId="66DF0290" w14:textId="31508F7F" w:rsidR="00940B61" w:rsidRPr="002D7011" w:rsidRDefault="00940B61" w:rsidP="00940B61">
      <w:pPr>
        <w:jc w:val="both"/>
        <w:rPr>
          <w:rFonts w:ascii="Arial" w:hAnsi="Arial" w:cs="Arial"/>
          <w:spacing w:val="-2"/>
          <w:sz w:val="24"/>
          <w:szCs w:val="24"/>
          <w:u w:val="single"/>
        </w:rPr>
      </w:pPr>
      <w:r w:rsidRPr="002D7011">
        <w:rPr>
          <w:rFonts w:ascii="Arial" w:hAnsi="Arial" w:cs="Arial"/>
          <w:sz w:val="24"/>
          <w:szCs w:val="24"/>
        </w:rPr>
        <w:t>Declaration:</w:t>
      </w:r>
      <w:r w:rsidRPr="00940B61">
        <w:rPr>
          <w:rFonts w:ascii="Arial" w:hAnsi="Arial" w:cs="Arial"/>
          <w:spacing w:val="-2"/>
          <w:sz w:val="24"/>
          <w:szCs w:val="24"/>
        </w:rPr>
        <w:t xml:space="preserve"> </w:t>
      </w:r>
      <w:r w:rsidRPr="002D7011">
        <w:rPr>
          <w:rFonts w:ascii="Arial" w:hAnsi="Arial" w:cs="Arial"/>
          <w:sz w:val="24"/>
          <w:szCs w:val="24"/>
        </w:rPr>
        <w:t xml:space="preserve">Applicants will also be required to declare any entitlements to a public service pension benefit (in payment or preserved) from any other public service employment and/or where they have received a payment-in-lieu in respect of service in any Public Service employment in accordance with s.51 of Single Pension Scheme Act 2012. </w:t>
      </w:r>
    </w:p>
    <w:p w14:paraId="1472339E" w14:textId="77777777" w:rsidR="00940B61" w:rsidRPr="002D7011" w:rsidRDefault="00940B61" w:rsidP="00940B61">
      <w:pPr>
        <w:jc w:val="both"/>
        <w:rPr>
          <w:rFonts w:ascii="Arial" w:hAnsi="Arial" w:cs="Arial"/>
          <w:color w:val="000000"/>
          <w:sz w:val="24"/>
          <w:szCs w:val="24"/>
          <w:u w:val="single"/>
        </w:rPr>
      </w:pPr>
    </w:p>
    <w:p w14:paraId="7C32FE0D" w14:textId="77777777" w:rsidR="00940B61" w:rsidRPr="002D7011" w:rsidRDefault="00940B61" w:rsidP="00940B61">
      <w:pPr>
        <w:jc w:val="both"/>
        <w:rPr>
          <w:rFonts w:ascii="Arial" w:hAnsi="Arial" w:cs="Arial"/>
          <w:sz w:val="24"/>
          <w:szCs w:val="24"/>
        </w:rPr>
      </w:pPr>
      <w:r w:rsidRPr="002D7011">
        <w:rPr>
          <w:rFonts w:ascii="Arial" w:hAnsi="Arial" w:cs="Arial"/>
          <w:sz w:val="24"/>
          <w:szCs w:val="24"/>
        </w:rPr>
        <w:t>Abatement: If the appointee has previously been employed in the public service (including the civil service) and is in receipt of a pension from the public service or where a public service pension comes into payment during his/her re-employment that pension will be subject to abatement in accordance with the Public Service Pensions (Single Scheme and Other Provisions) Act 2012.</w:t>
      </w:r>
    </w:p>
    <w:p w14:paraId="50876B89" w14:textId="77777777" w:rsidR="00940B61" w:rsidRPr="002D7011" w:rsidRDefault="00940B61" w:rsidP="00940B61">
      <w:pPr>
        <w:jc w:val="both"/>
        <w:rPr>
          <w:rFonts w:ascii="Arial" w:hAnsi="Arial" w:cs="Arial"/>
          <w:sz w:val="24"/>
          <w:szCs w:val="24"/>
        </w:rPr>
      </w:pPr>
    </w:p>
    <w:p w14:paraId="76353EBB" w14:textId="77777777" w:rsidR="00940B61" w:rsidRPr="002D7011" w:rsidRDefault="00940B61" w:rsidP="00940B61">
      <w:pPr>
        <w:jc w:val="both"/>
        <w:rPr>
          <w:rFonts w:ascii="Arial" w:hAnsi="Arial" w:cs="Arial"/>
          <w:sz w:val="24"/>
          <w:szCs w:val="24"/>
        </w:rPr>
      </w:pPr>
      <w:r w:rsidRPr="002D7011">
        <w:rPr>
          <w:rFonts w:ascii="Arial" w:hAnsi="Arial" w:cs="Arial"/>
          <w:sz w:val="24"/>
          <w:szCs w:val="24"/>
        </w:rPr>
        <w:t>Entitlements under ISER/VER schemes: The Department of Public Expenditure and Reform should be consulted in advance of formal appointment in all cases where the prospective appointee availed of a previous ISER/VR/VER arrangement in the public service. The implications of their new appointment on their ISER/VR/VER payment/pension entitlements will be determined by the terms and policies governing the ISER/VR/VER scheme in question. An example of one includes:</w:t>
      </w:r>
    </w:p>
    <w:p w14:paraId="73B49593" w14:textId="77777777" w:rsidR="00940B61" w:rsidRPr="002D7011" w:rsidRDefault="00940B61" w:rsidP="00940B61">
      <w:pPr>
        <w:pStyle w:val="ListParagraph"/>
        <w:jc w:val="both"/>
        <w:rPr>
          <w:rFonts w:ascii="Arial" w:hAnsi="Arial" w:cs="Arial"/>
          <w:sz w:val="24"/>
          <w:szCs w:val="24"/>
        </w:rPr>
      </w:pPr>
    </w:p>
    <w:p w14:paraId="71DB1C2A" w14:textId="77777777" w:rsidR="00940B61" w:rsidRPr="002D7011" w:rsidRDefault="00940B61" w:rsidP="00940B61">
      <w:pPr>
        <w:ind w:left="720"/>
        <w:jc w:val="both"/>
        <w:rPr>
          <w:rFonts w:ascii="Arial" w:hAnsi="Arial" w:cs="Arial"/>
          <w:sz w:val="24"/>
          <w:szCs w:val="24"/>
        </w:rPr>
      </w:pPr>
      <w:r w:rsidRPr="002D7011">
        <w:rPr>
          <w:rFonts w:ascii="Arial" w:hAnsi="Arial" w:cs="Arial"/>
          <w:sz w:val="24"/>
          <w:szCs w:val="24"/>
        </w:rPr>
        <w:t xml:space="preserve">Department of Education and Skills Early Retirement Scheme for Teachers Circular 102/2007: The Department of Education and Skills introduced an Early Retirement Scheme for Teachers. It is a condition of the Early Retirement Scheme that with the exception of the situations set out in paragraphs 10.2 and </w:t>
      </w:r>
      <w:r w:rsidRPr="002D7011">
        <w:rPr>
          <w:rFonts w:ascii="Arial" w:hAnsi="Arial" w:cs="Arial"/>
          <w:sz w:val="24"/>
          <w:szCs w:val="24"/>
        </w:rPr>
        <w:lastRenderedPageBreak/>
        <w:t>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14:paraId="74326F94" w14:textId="77777777" w:rsidR="00464EF4" w:rsidRDefault="00464EF4" w:rsidP="00464EF4">
      <w:pPr>
        <w:pStyle w:val="Title"/>
        <w:jc w:val="both"/>
        <w:rPr>
          <w:rFonts w:ascii="Arial" w:hAnsi="Arial" w:cs="Arial"/>
          <w:b w:val="0"/>
          <w:color w:val="000000"/>
          <w:sz w:val="22"/>
          <w:szCs w:val="22"/>
          <w:lang w:val="en-IE"/>
        </w:rPr>
      </w:pPr>
    </w:p>
    <w:p w14:paraId="549F3196" w14:textId="77777777" w:rsidR="00464EF4" w:rsidRDefault="00464EF4" w:rsidP="00464EF4">
      <w:pPr>
        <w:pStyle w:val="Title"/>
        <w:jc w:val="both"/>
        <w:rPr>
          <w:rFonts w:ascii="Arial" w:hAnsi="Arial" w:cs="Arial"/>
          <w:b w:val="0"/>
          <w:color w:val="000000"/>
          <w:sz w:val="22"/>
          <w:szCs w:val="22"/>
          <w:lang w:val="en-IE"/>
        </w:rPr>
      </w:pPr>
    </w:p>
    <w:p w14:paraId="7A3E2599" w14:textId="1F4D24D2" w:rsidR="00464EF4" w:rsidRPr="0069245E" w:rsidRDefault="00940B61" w:rsidP="00F530F1">
      <w:pPr>
        <w:pStyle w:val="Heading4"/>
      </w:pPr>
      <w:r>
        <w:t>Ill-Health-Retirement - Pension</w:t>
      </w:r>
    </w:p>
    <w:p w14:paraId="322DD4FD" w14:textId="3D35642E" w:rsidR="00464EF4" w:rsidRPr="00464EF4" w:rsidRDefault="00464EF4" w:rsidP="00464EF4">
      <w:pPr>
        <w:pStyle w:val="Title"/>
        <w:jc w:val="both"/>
        <w:rPr>
          <w:rFonts w:ascii="Arial" w:hAnsi="Arial" w:cs="Arial"/>
          <w:b w:val="0"/>
          <w:color w:val="000000"/>
          <w:sz w:val="22"/>
          <w:szCs w:val="22"/>
          <w:lang w:val="en-IE"/>
        </w:rPr>
      </w:pPr>
      <w:r w:rsidRPr="00464EF4">
        <w:rPr>
          <w:rFonts w:ascii="Arial" w:hAnsi="Arial" w:cs="Arial"/>
          <w:b w:val="0"/>
          <w:color w:val="000000"/>
          <w:sz w:val="22"/>
          <w:szCs w:val="22"/>
          <w:lang w:val="en-IE"/>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49A0744C" w14:textId="77777777" w:rsidR="00464EF4" w:rsidRDefault="00464EF4" w:rsidP="00464EF4">
      <w:pPr>
        <w:pStyle w:val="Title"/>
        <w:jc w:val="both"/>
        <w:rPr>
          <w:rFonts w:ascii="Arial" w:hAnsi="Arial" w:cs="Arial"/>
          <w:b w:val="0"/>
          <w:color w:val="000000"/>
          <w:sz w:val="22"/>
          <w:szCs w:val="22"/>
          <w:lang w:val="en-IE"/>
        </w:rPr>
      </w:pPr>
    </w:p>
    <w:sectPr w:rsidR="00464EF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5F2A" w14:textId="77777777" w:rsidR="00BB3BF6" w:rsidRDefault="00BB3BF6" w:rsidP="00BB3BF6">
      <w:r>
        <w:separator/>
      </w:r>
    </w:p>
  </w:endnote>
  <w:endnote w:type="continuationSeparator" w:id="0">
    <w:p w14:paraId="52725F2B" w14:textId="77777777" w:rsidR="00BB3BF6" w:rsidRDefault="00BB3BF6" w:rsidP="00BB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5F28" w14:textId="77777777" w:rsidR="00BB3BF6" w:rsidRDefault="00BB3BF6" w:rsidP="00BB3BF6">
      <w:r>
        <w:separator/>
      </w:r>
    </w:p>
  </w:footnote>
  <w:footnote w:type="continuationSeparator" w:id="0">
    <w:p w14:paraId="52725F29" w14:textId="77777777" w:rsidR="00BB3BF6" w:rsidRDefault="00BB3BF6" w:rsidP="00BB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5F2C" w14:textId="3A5E9B97" w:rsidR="00BB3BF6" w:rsidRPr="00BB3BF6" w:rsidRDefault="00BB3BF6" w:rsidP="00BB3BF6">
    <w:pPr>
      <w:pStyle w:val="Header"/>
      <w:jc w:val="center"/>
      <w:rPr>
        <w:rFonts w:ascii="Arial" w:hAnsi="Arial" w:cs="Arial"/>
      </w:rPr>
    </w:pPr>
    <w:r>
      <w:rPr>
        <w:rFonts w:ascii="Arial" w:hAnsi="Arial" w:cs="Arial"/>
      </w:rPr>
      <w:t xml:space="preserve">Last updated: </w:t>
    </w:r>
    <w:r w:rsidR="00940B61">
      <w:rPr>
        <w:rFonts w:ascii="Arial" w:hAnsi="Arial" w:cs="Arial"/>
      </w:rPr>
      <w:t>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8A3"/>
    <w:multiLevelType w:val="hybridMultilevel"/>
    <w:tmpl w:val="0794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CC70E3"/>
    <w:multiLevelType w:val="hybridMultilevel"/>
    <w:tmpl w:val="97D2DABC"/>
    <w:lvl w:ilvl="0" w:tplc="ED7E99A2">
      <w:start w:val="1"/>
      <w:numFmt w:val="upperLetter"/>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C091A6E"/>
    <w:multiLevelType w:val="hybridMultilevel"/>
    <w:tmpl w:val="3EA8456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F6"/>
    <w:rsid w:val="0006050D"/>
    <w:rsid w:val="00066B3B"/>
    <w:rsid w:val="000B3109"/>
    <w:rsid w:val="000E5A59"/>
    <w:rsid w:val="000F2E33"/>
    <w:rsid w:val="00104616"/>
    <w:rsid w:val="001122E6"/>
    <w:rsid w:val="0011630E"/>
    <w:rsid w:val="00162409"/>
    <w:rsid w:val="001753D9"/>
    <w:rsid w:val="001A274D"/>
    <w:rsid w:val="001C5319"/>
    <w:rsid w:val="00214957"/>
    <w:rsid w:val="00257545"/>
    <w:rsid w:val="002E4B49"/>
    <w:rsid w:val="00375FD5"/>
    <w:rsid w:val="00437937"/>
    <w:rsid w:val="00452D98"/>
    <w:rsid w:val="00464EF4"/>
    <w:rsid w:val="004A24AC"/>
    <w:rsid w:val="00586CA3"/>
    <w:rsid w:val="006204A4"/>
    <w:rsid w:val="006335A4"/>
    <w:rsid w:val="0069245E"/>
    <w:rsid w:val="006C0A7D"/>
    <w:rsid w:val="006E2487"/>
    <w:rsid w:val="006E27EB"/>
    <w:rsid w:val="006E520B"/>
    <w:rsid w:val="0072029C"/>
    <w:rsid w:val="007B47D4"/>
    <w:rsid w:val="007C2096"/>
    <w:rsid w:val="0080700C"/>
    <w:rsid w:val="008504C6"/>
    <w:rsid w:val="008D574D"/>
    <w:rsid w:val="008E2662"/>
    <w:rsid w:val="00940B61"/>
    <w:rsid w:val="00971FC6"/>
    <w:rsid w:val="009C53AF"/>
    <w:rsid w:val="009E1BBB"/>
    <w:rsid w:val="00A53CC2"/>
    <w:rsid w:val="00AA4526"/>
    <w:rsid w:val="00AD4F5D"/>
    <w:rsid w:val="00B064C3"/>
    <w:rsid w:val="00B63605"/>
    <w:rsid w:val="00B85434"/>
    <w:rsid w:val="00BB3BF6"/>
    <w:rsid w:val="00C33D35"/>
    <w:rsid w:val="00CA2312"/>
    <w:rsid w:val="00CA6E92"/>
    <w:rsid w:val="00D40AF1"/>
    <w:rsid w:val="00D41B32"/>
    <w:rsid w:val="00DF18ED"/>
    <w:rsid w:val="00E32720"/>
    <w:rsid w:val="00EB02AD"/>
    <w:rsid w:val="00F0631D"/>
    <w:rsid w:val="00F2205A"/>
    <w:rsid w:val="00F31341"/>
    <w:rsid w:val="00F530F1"/>
    <w:rsid w:val="00F740CA"/>
    <w:rsid w:val="00F86FD4"/>
    <w:rsid w:val="00FA6061"/>
    <w:rsid w:val="00FB47B6"/>
    <w:rsid w:val="00FB67E4"/>
    <w:rsid w:val="00FF182C"/>
    <w:rsid w:val="00FF5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5EED"/>
  <w15:chartTrackingRefBased/>
  <w15:docId w15:val="{9075721C-5E59-42E2-A5AF-AD944A21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F6"/>
    <w:pPr>
      <w:spacing w:after="0" w:line="240" w:lineRule="auto"/>
    </w:pPr>
    <w:rPr>
      <w:rFonts w:ascii="Times New Roman" w:eastAsia="Calibri" w:hAnsi="Times New Roman" w:cs="Times New Roman"/>
      <w:noProof/>
      <w:sz w:val="20"/>
      <w:szCs w:val="20"/>
      <w:lang w:eastAsia="en-GB"/>
    </w:rPr>
  </w:style>
  <w:style w:type="paragraph" w:styleId="Heading1">
    <w:name w:val="heading 1"/>
    <w:basedOn w:val="ListParagraph"/>
    <w:next w:val="Normal"/>
    <w:link w:val="Heading1Char"/>
    <w:qFormat/>
    <w:rsid w:val="00BB3BF6"/>
    <w:pPr>
      <w:numPr>
        <w:numId w:val="1"/>
      </w:numPr>
      <w:tabs>
        <w:tab w:val="left" w:leader="dot" w:pos="567"/>
      </w:tabs>
      <w:jc w:val="center"/>
      <w:outlineLvl w:val="0"/>
    </w:pPr>
    <w:rPr>
      <w:rFonts w:ascii="Arial" w:hAnsi="Arial" w:cs="Arial"/>
      <w:b/>
      <w:smallCaps/>
      <w:noProof w:val="0"/>
      <w:sz w:val="28"/>
      <w:szCs w:val="22"/>
      <w:u w:val="single"/>
      <w:lang w:eastAsia="en-US"/>
    </w:rPr>
  </w:style>
  <w:style w:type="paragraph" w:styleId="Heading4">
    <w:name w:val="heading 4"/>
    <w:basedOn w:val="BlockText"/>
    <w:next w:val="Normal"/>
    <w:link w:val="Heading4Char"/>
    <w:qFormat/>
    <w:rsid w:val="00BB3BF6"/>
    <w:pPr>
      <w:pBdr>
        <w:top w:val="none" w:sz="0" w:space="0" w:color="auto"/>
        <w:left w:val="none" w:sz="0" w:space="0" w:color="auto"/>
        <w:bottom w:val="none" w:sz="0" w:space="0" w:color="auto"/>
        <w:right w:val="none" w:sz="0" w:space="0" w:color="auto"/>
      </w:pBdr>
      <w:ind w:left="0" w:right="1193"/>
      <w:jc w:val="both"/>
      <w:outlineLvl w:val="3"/>
    </w:pPr>
    <w:rPr>
      <w:rFonts w:ascii="Arial" w:eastAsia="Calibri" w:hAnsi="Arial" w:cs="Arial"/>
      <w:b/>
      <w:bCs/>
      <w:i w:val="0"/>
      <w:iCs w:val="0"/>
      <w:noProof w:val="0"/>
      <w:color w:val="auto"/>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BF6"/>
    <w:rPr>
      <w:rFonts w:ascii="Arial" w:eastAsia="Calibri" w:hAnsi="Arial" w:cs="Arial"/>
      <w:b/>
      <w:smallCaps/>
      <w:sz w:val="28"/>
      <w:u w:val="single"/>
    </w:rPr>
  </w:style>
  <w:style w:type="character" w:customStyle="1" w:styleId="Heading4Char">
    <w:name w:val="Heading 4 Char"/>
    <w:basedOn w:val="DefaultParagraphFont"/>
    <w:link w:val="Heading4"/>
    <w:rsid w:val="00BB3BF6"/>
    <w:rPr>
      <w:rFonts w:ascii="Arial" w:eastAsia="Calibri" w:hAnsi="Arial" w:cs="Arial"/>
      <w:b/>
      <w:bCs/>
      <w:u w:val="single"/>
      <w:lang w:eastAsia="en-GB"/>
    </w:rPr>
  </w:style>
  <w:style w:type="paragraph" w:styleId="BodyText2">
    <w:name w:val="Body Text 2"/>
    <w:basedOn w:val="Normal"/>
    <w:link w:val="BodyText2Char"/>
    <w:rsid w:val="00BB3BF6"/>
    <w:rPr>
      <w:b/>
      <w:sz w:val="24"/>
    </w:rPr>
  </w:style>
  <w:style w:type="character" w:customStyle="1" w:styleId="BodyText2Char">
    <w:name w:val="Body Text 2 Char"/>
    <w:basedOn w:val="DefaultParagraphFont"/>
    <w:link w:val="BodyText2"/>
    <w:rsid w:val="00BB3BF6"/>
    <w:rPr>
      <w:rFonts w:ascii="Times New Roman" w:eastAsia="Calibri" w:hAnsi="Times New Roman" w:cs="Times New Roman"/>
      <w:b/>
      <w:noProof/>
      <w:sz w:val="24"/>
      <w:szCs w:val="20"/>
      <w:lang w:eastAsia="en-GB"/>
    </w:rPr>
  </w:style>
  <w:style w:type="character" w:styleId="Hyperlink">
    <w:name w:val="Hyperlink"/>
    <w:uiPriority w:val="99"/>
    <w:rsid w:val="00BB3BF6"/>
    <w:rPr>
      <w:rFonts w:cs="Times New Roman"/>
      <w:color w:val="0000FF"/>
      <w:u w:val="single"/>
    </w:rPr>
  </w:style>
  <w:style w:type="paragraph" w:styleId="PlainText">
    <w:name w:val="Plain Text"/>
    <w:basedOn w:val="Normal"/>
    <w:link w:val="PlainTextChar"/>
    <w:uiPriority w:val="99"/>
    <w:rsid w:val="00BB3BF6"/>
    <w:rPr>
      <w:rFonts w:ascii="Courier New" w:hAnsi="Courier New" w:cs="Courier New"/>
      <w:lang w:val="en-GB"/>
    </w:rPr>
  </w:style>
  <w:style w:type="character" w:customStyle="1" w:styleId="PlainTextChar">
    <w:name w:val="Plain Text Char"/>
    <w:basedOn w:val="DefaultParagraphFont"/>
    <w:link w:val="PlainText"/>
    <w:uiPriority w:val="99"/>
    <w:rsid w:val="00BB3BF6"/>
    <w:rPr>
      <w:rFonts w:ascii="Courier New" w:eastAsia="Calibri" w:hAnsi="Courier New" w:cs="Courier New"/>
      <w:noProof/>
      <w:sz w:val="20"/>
      <w:szCs w:val="20"/>
      <w:lang w:val="en-GB" w:eastAsia="en-GB"/>
    </w:rPr>
  </w:style>
  <w:style w:type="paragraph" w:styleId="Title">
    <w:name w:val="Title"/>
    <w:basedOn w:val="Normal"/>
    <w:link w:val="TitleChar"/>
    <w:qFormat/>
    <w:rsid w:val="00BB3BF6"/>
    <w:pPr>
      <w:jc w:val="center"/>
    </w:pPr>
    <w:rPr>
      <w:b/>
      <w:sz w:val="24"/>
      <w:lang w:val="en-US"/>
    </w:rPr>
  </w:style>
  <w:style w:type="character" w:customStyle="1" w:styleId="TitleChar">
    <w:name w:val="Title Char"/>
    <w:basedOn w:val="DefaultParagraphFont"/>
    <w:link w:val="Title"/>
    <w:rsid w:val="00BB3BF6"/>
    <w:rPr>
      <w:rFonts w:ascii="Times New Roman" w:eastAsia="Calibri" w:hAnsi="Times New Roman" w:cs="Times New Roman"/>
      <w:b/>
      <w:noProof/>
      <w:sz w:val="24"/>
      <w:szCs w:val="20"/>
      <w:lang w:val="en-US" w:eastAsia="en-GB"/>
    </w:rPr>
  </w:style>
  <w:style w:type="paragraph" w:styleId="ListParagraph">
    <w:name w:val="List Paragraph"/>
    <w:basedOn w:val="Normal"/>
    <w:uiPriority w:val="34"/>
    <w:qFormat/>
    <w:rsid w:val="00BB3BF6"/>
    <w:pPr>
      <w:ind w:left="720"/>
      <w:contextualSpacing/>
    </w:pPr>
  </w:style>
  <w:style w:type="paragraph" w:styleId="BlockText">
    <w:name w:val="Block Text"/>
    <w:basedOn w:val="Normal"/>
    <w:uiPriority w:val="99"/>
    <w:semiHidden/>
    <w:unhideWhenUsed/>
    <w:rsid w:val="00BB3BF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BB3BF6"/>
    <w:pPr>
      <w:tabs>
        <w:tab w:val="center" w:pos="4513"/>
        <w:tab w:val="right" w:pos="9026"/>
      </w:tabs>
    </w:pPr>
  </w:style>
  <w:style w:type="character" w:customStyle="1" w:styleId="HeaderChar">
    <w:name w:val="Header Char"/>
    <w:basedOn w:val="DefaultParagraphFont"/>
    <w:link w:val="Header"/>
    <w:uiPriority w:val="99"/>
    <w:rsid w:val="00BB3BF6"/>
    <w:rPr>
      <w:rFonts w:ascii="Times New Roman" w:eastAsia="Calibri" w:hAnsi="Times New Roman" w:cs="Times New Roman"/>
      <w:noProof/>
      <w:sz w:val="20"/>
      <w:szCs w:val="20"/>
      <w:lang w:eastAsia="en-GB"/>
    </w:rPr>
  </w:style>
  <w:style w:type="paragraph" w:styleId="Footer">
    <w:name w:val="footer"/>
    <w:basedOn w:val="Normal"/>
    <w:link w:val="FooterChar"/>
    <w:uiPriority w:val="99"/>
    <w:unhideWhenUsed/>
    <w:rsid w:val="00BB3BF6"/>
    <w:pPr>
      <w:tabs>
        <w:tab w:val="center" w:pos="4513"/>
        <w:tab w:val="right" w:pos="9026"/>
      </w:tabs>
    </w:pPr>
  </w:style>
  <w:style w:type="character" w:customStyle="1" w:styleId="FooterChar">
    <w:name w:val="Footer Char"/>
    <w:basedOn w:val="DefaultParagraphFont"/>
    <w:link w:val="Footer"/>
    <w:uiPriority w:val="99"/>
    <w:rsid w:val="00BB3BF6"/>
    <w:rPr>
      <w:rFonts w:ascii="Times New Roman" w:eastAsia="Calibri" w:hAnsi="Times New Roman" w:cs="Times New Roman"/>
      <w:noProof/>
      <w:sz w:val="20"/>
      <w:szCs w:val="20"/>
      <w:lang w:eastAsia="en-GB"/>
    </w:rPr>
  </w:style>
  <w:style w:type="character" w:styleId="FollowedHyperlink">
    <w:name w:val="FollowedHyperlink"/>
    <w:basedOn w:val="DefaultParagraphFont"/>
    <w:uiPriority w:val="99"/>
    <w:semiHidden/>
    <w:unhideWhenUsed/>
    <w:rsid w:val="00C33D35"/>
    <w:rPr>
      <w:color w:val="954F72" w:themeColor="followedHyperlink"/>
      <w:u w:val="single"/>
    </w:rPr>
  </w:style>
  <w:style w:type="character" w:styleId="Emphasis">
    <w:name w:val="Emphasis"/>
    <w:uiPriority w:val="99"/>
    <w:qFormat/>
    <w:rsid w:val="00F0631D"/>
    <w:rPr>
      <w:rFonts w:cs="Times New Roman"/>
      <w:i/>
      <w:iCs/>
    </w:rPr>
  </w:style>
  <w:style w:type="character" w:styleId="CommentReference">
    <w:name w:val="annotation reference"/>
    <w:basedOn w:val="DefaultParagraphFont"/>
    <w:uiPriority w:val="99"/>
    <w:semiHidden/>
    <w:unhideWhenUsed/>
    <w:rsid w:val="004A24AC"/>
    <w:rPr>
      <w:sz w:val="16"/>
      <w:szCs w:val="16"/>
    </w:rPr>
  </w:style>
  <w:style w:type="paragraph" w:styleId="CommentText">
    <w:name w:val="annotation text"/>
    <w:basedOn w:val="Normal"/>
    <w:link w:val="CommentTextChar"/>
    <w:uiPriority w:val="99"/>
    <w:semiHidden/>
    <w:unhideWhenUsed/>
    <w:rsid w:val="004A24AC"/>
  </w:style>
  <w:style w:type="character" w:customStyle="1" w:styleId="CommentTextChar">
    <w:name w:val="Comment Text Char"/>
    <w:basedOn w:val="DefaultParagraphFont"/>
    <w:link w:val="CommentText"/>
    <w:uiPriority w:val="99"/>
    <w:semiHidden/>
    <w:rsid w:val="004A24AC"/>
    <w:rPr>
      <w:rFonts w:ascii="Times New Roman" w:eastAsia="Calibri" w:hAnsi="Times New Roman" w:cs="Times New Roman"/>
      <w:noProof/>
      <w:sz w:val="20"/>
      <w:szCs w:val="20"/>
      <w:lang w:eastAsia="en-GB"/>
    </w:rPr>
  </w:style>
  <w:style w:type="paragraph" w:styleId="CommentSubject">
    <w:name w:val="annotation subject"/>
    <w:basedOn w:val="CommentText"/>
    <w:next w:val="CommentText"/>
    <w:link w:val="CommentSubjectChar"/>
    <w:uiPriority w:val="99"/>
    <w:semiHidden/>
    <w:unhideWhenUsed/>
    <w:rsid w:val="004A24AC"/>
    <w:rPr>
      <w:b/>
      <w:bCs/>
    </w:rPr>
  </w:style>
  <w:style w:type="character" w:customStyle="1" w:styleId="CommentSubjectChar">
    <w:name w:val="Comment Subject Char"/>
    <w:basedOn w:val="CommentTextChar"/>
    <w:link w:val="CommentSubject"/>
    <w:uiPriority w:val="99"/>
    <w:semiHidden/>
    <w:rsid w:val="004A24AC"/>
    <w:rPr>
      <w:rFonts w:ascii="Times New Roman" w:eastAsia="Calibri" w:hAnsi="Times New Roman" w:cs="Times New Roman"/>
      <w:b/>
      <w:bCs/>
      <w:noProof/>
      <w:sz w:val="20"/>
      <w:szCs w:val="20"/>
      <w:lang w:eastAsia="en-GB"/>
    </w:rPr>
  </w:style>
  <w:style w:type="paragraph" w:styleId="BalloonText">
    <w:name w:val="Balloon Text"/>
    <w:basedOn w:val="Normal"/>
    <w:link w:val="BalloonTextChar"/>
    <w:uiPriority w:val="99"/>
    <w:semiHidden/>
    <w:unhideWhenUsed/>
    <w:rsid w:val="004A2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AC"/>
    <w:rPr>
      <w:rFonts w:ascii="Segoe UI" w:eastAsia="Calibri" w:hAnsi="Segoe UI" w:cs="Segoe UI"/>
      <w:noProo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9045">
      <w:bodyDiv w:val="1"/>
      <w:marLeft w:val="0"/>
      <w:marRight w:val="0"/>
      <w:marTop w:val="0"/>
      <w:marBottom w:val="0"/>
      <w:divBdr>
        <w:top w:val="none" w:sz="0" w:space="0" w:color="auto"/>
        <w:left w:val="none" w:sz="0" w:space="0" w:color="auto"/>
        <w:bottom w:val="none" w:sz="0" w:space="0" w:color="auto"/>
        <w:right w:val="none" w:sz="0" w:space="0" w:color="auto"/>
      </w:divBdr>
    </w:div>
    <w:div w:id="2075155033">
      <w:bodyDiv w:val="1"/>
      <w:marLeft w:val="0"/>
      <w:marRight w:val="0"/>
      <w:marTop w:val="0"/>
      <w:marBottom w:val="0"/>
      <w:divBdr>
        <w:top w:val="none" w:sz="0" w:space="0" w:color="auto"/>
        <w:left w:val="none" w:sz="0" w:space="0" w:color="auto"/>
        <w:bottom w:val="none" w:sz="0" w:space="0" w:color="auto"/>
        <w:right w:val="none" w:sz="0" w:space="0" w:color="auto"/>
      </w:divBdr>
    </w:div>
    <w:div w:id="21459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e/en/circular/fabf4f166a1d4933a3dbe96a69e94ce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inglepensionscheme.gov.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6B29EE0CFB6E145B8FD5093314235F0" ma:contentTypeVersion="13" ma:contentTypeDescription="Create a new document for eDocs" ma:contentTypeScope="" ma:versionID="f396144c4b18db4a44bd19b1f96e14fe">
  <xsd:schema xmlns:xsd="http://www.w3.org/2001/XMLSchema" xmlns:xs="http://www.w3.org/2001/XMLSchema" xmlns:p="http://schemas.microsoft.com/office/2006/metadata/properties" xmlns:ns1="http://schemas.microsoft.com/sharepoint/v3" xmlns:ns2="2257edc7-5ad4-4a3d-9d86-1bfeb4bf39ab" xmlns:ns3="5807b161-bb51-4f50-a275-409e100906d4" targetNamespace="http://schemas.microsoft.com/office/2006/metadata/properties" ma:root="true" ma:fieldsID="0904dd7485035f2b9137d26a9f4eabf7" ns1:_="" ns2:_="" ns3:_="">
    <xsd:import namespace="http://schemas.microsoft.com/sharepoint/v3"/>
    <xsd:import namespace="2257edc7-5ad4-4a3d-9d86-1bfeb4bf39ab"/>
    <xsd:import namespace="5807b161-bb51-4f50-a275-409e100906d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2257edc7-5ad4-4a3d-9d86-1bfeb4bf39a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d603ca5b-5f9b-42f1-9b1a-045daed364df"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d603ca5b-5f9b-42f1-9b1a-045daed364df"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9;#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07b161-bb51-4f50-a275-409e100906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5f3b98-7afe-4754-bb3c-9f0e47b1b7fa}" ma:internalName="TaxCatchAll" ma:showField="CatchAllData" ma:web="5807b161-bb51-4f50-a275-409e10090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2257edc7-5ad4-4a3d-9d86-1bfeb4bf39ab">
      <Terms xmlns="http://schemas.microsoft.com/office/infopath/2007/PartnerControls"/>
    </eDocs_FileTopicsTaxHTField0>
    <eDocs_SeriesSubSeriesTaxHTField0 xmlns="2257edc7-5ad4-4a3d-9d86-1bfeb4bf39ab">
      <Terms xmlns="http://schemas.microsoft.com/office/infopath/2007/PartnerControls">
        <TermInfo xmlns="http://schemas.microsoft.com/office/infopath/2007/PartnerControls">
          <TermName xmlns="http://schemas.microsoft.com/office/infopath/2007/PartnerControls">148</TermName>
          <TermId xmlns="http://schemas.microsoft.com/office/infopath/2007/PartnerControls">dcb8ecb1-f333-4ebd-81b6-757d85ad6c1d</TermId>
        </TermInfo>
      </Terms>
    </eDocs_SeriesSubSeriesTaxHTField0>
    <eDocs_FileStatus xmlns="http://schemas.microsoft.com/sharepoint/v3">Live</eDocs_FileStatus>
    <eDocs_SecurityLevel xmlns="http://schemas.microsoft.com/sharepoint/v3">Unclassified</eDocs_SecurityLevel>
    <eDocs_DocumentTopicsTaxHTField0 xmlns="2257edc7-5ad4-4a3d-9d86-1bfeb4bf39ab">
      <Terms xmlns="http://schemas.microsoft.com/office/infopath/2007/PartnerControls"/>
    </eDocs_DocumentTopicsTaxHTField0>
    <eDocs_YearTaxHTField0 xmlns="2257edc7-5ad4-4a3d-9d86-1bfeb4bf39a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FileName xmlns="http://schemas.microsoft.com/sharepoint/v3">DPE148-002-2016</eDocs_FileName>
    <TaxCatchAll xmlns="5807b161-bb51-4f50-a275-409e100906d4">
      <Value>2</Value>
      <Value>4</Value>
    </TaxCatchAll>
    <_dlc_ExpireDateSaved xmlns="http://schemas.microsoft.com/sharepoint/v3" xsi:nil="true"/>
    <_dlc_ExpireDate xmlns="http://schemas.microsoft.com/sharepoint/v3" xsi:nil="true"/>
    <eDocs_SecurityClassificationTaxHTField0 xmlns="2257edc7-5ad4-4a3d-9d86-1bfeb4bf39ab">
      <Terms xmlns="http://schemas.microsoft.com/office/infopath/2007/PartnerControl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6cec72b-518d-4464-9f29-3f634f6e27f6">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B3073E4-C63B-415A-B1B8-C7289D8FF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57edc7-5ad4-4a3d-9d86-1bfeb4bf39ab"/>
    <ds:schemaRef ds:uri="5807b161-bb51-4f50-a275-409e10090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AE456-F65E-43CE-A48E-295A22A81060}">
  <ds:schemaRefs>
    <ds:schemaRef ds:uri="5807b161-bb51-4f50-a275-409e100906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257edc7-5ad4-4a3d-9d86-1bfeb4bf39ab"/>
    <ds:schemaRef ds:uri="http://www.w3.org/XML/1998/namespace"/>
    <ds:schemaRef ds:uri="http://purl.org/dc/dcmitype/"/>
  </ds:schemaRefs>
</ds:datastoreItem>
</file>

<file path=customXml/itemProps3.xml><?xml version="1.0" encoding="utf-8"?>
<ds:datastoreItem xmlns:ds="http://schemas.openxmlformats.org/officeDocument/2006/customXml" ds:itemID="{E002171D-D216-452A-BD90-5D774A065A46}">
  <ds:schemaRefs>
    <ds:schemaRef ds:uri="http://schemas.microsoft.com/sharepoint/v3/contenttype/forms"/>
  </ds:schemaRefs>
</ds:datastoreItem>
</file>

<file path=customXml/itemProps4.xml><?xml version="1.0" encoding="utf-8"?>
<ds:datastoreItem xmlns:ds="http://schemas.openxmlformats.org/officeDocument/2006/customXml" ds:itemID="{A2E6C60F-579E-43DF-91F1-6A8781776F0E}">
  <ds:schemaRefs>
    <ds:schemaRef ds:uri="office.server.policy"/>
  </ds:schemaRefs>
</ds:datastoreItem>
</file>

<file path=customXml/itemProps5.xml><?xml version="1.0" encoding="utf-8"?>
<ds:datastoreItem xmlns:ds="http://schemas.openxmlformats.org/officeDocument/2006/customXml" ds:itemID="{1F3B743C-24BA-4EB5-B9C4-FD55B020E0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O'Brien Hogan</dc:creator>
  <cp:keywords/>
  <dc:description/>
  <cp:lastModifiedBy>Ciara Doyle (PER)</cp:lastModifiedBy>
  <cp:revision>3</cp:revision>
  <dcterms:created xsi:type="dcterms:W3CDTF">2021-07-29T12:24:00Z</dcterms:created>
  <dcterms:modified xsi:type="dcterms:W3CDTF">2021-07-29T12:25:00Z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0x0101000BC94875665D404BB1351B53C41FD2C00076B29EE0CFB6E145B8FD5093314235F0</vt:lpwstr>
  </property>
  <property fmtid="{D5CDD505-2E9C-101B-9397-08002B2CF9AE}" pid="3" name="eDocs_FileTopics">
    <vt:lpwstr/>
  </property>
  <property fmtid="{D5CDD505-2E9C-101B-9397-08002B2CF9AE}" pid="4" name="eDocs_Year">
    <vt:lpwstr>4;#2016|290abb38-182b-47f5-ab57-7f33b46e6252</vt:lpwstr>
  </property>
  <property fmtid="{D5CDD505-2E9C-101B-9397-08002B2CF9AE}" pid="5" name="eDocs_SeriesSubSeries">
    <vt:lpwstr>2;#148|dcb8ecb1-f333-4ebd-81b6-757d85ad6c1d</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10/20/2018 23:14:11</vt:lpwstr>
  </property>
  <property fmtid="{D5CDD505-2E9C-101B-9397-08002B2CF9AE}" pid="10" name="_dlc_ItemStageId">
    <vt:lpwstr>1</vt:lpwstr>
  </property>
  <property fmtid="{D5CDD505-2E9C-101B-9397-08002B2CF9AE}" pid="11" name="_docset_NoMedatataSyncRequired">
    <vt:lpwstr>False</vt:lpwstr>
  </property>
  <property fmtid="{D5CDD505-2E9C-101B-9397-08002B2CF9AE}" pid="12" name="eDocs_SecurityClassification">
    <vt:lpwstr/>
  </property>
</Properties>
</file>