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0DDA" w14:textId="77777777" w:rsidR="00E11E6F" w:rsidRPr="00E11E6F" w:rsidRDefault="00E11E6F" w:rsidP="00E11E6F">
      <w:pPr>
        <w:autoSpaceDE w:val="0"/>
        <w:autoSpaceDN w:val="0"/>
        <w:adjustRightInd w:val="0"/>
        <w:spacing w:after="0" w:line="240" w:lineRule="auto"/>
        <w:rPr>
          <w:rFonts w:ascii="Calibri" w:hAnsi="Calibri" w:cs="Calibri"/>
          <w:color w:val="000000"/>
          <w:sz w:val="24"/>
          <w:szCs w:val="24"/>
        </w:rPr>
      </w:pPr>
    </w:p>
    <w:p w14:paraId="1C102862" w14:textId="77777777" w:rsidR="00E11E6F" w:rsidRPr="00E11E6F" w:rsidRDefault="00E11E6F" w:rsidP="00E11E6F">
      <w:pPr>
        <w:autoSpaceDE w:val="0"/>
        <w:autoSpaceDN w:val="0"/>
        <w:adjustRightInd w:val="0"/>
        <w:spacing w:after="0" w:line="240" w:lineRule="auto"/>
        <w:rPr>
          <w:rFonts w:ascii="Calibri" w:hAnsi="Calibri" w:cs="Calibri"/>
          <w:color w:val="000000"/>
          <w:sz w:val="28"/>
          <w:szCs w:val="28"/>
        </w:rPr>
      </w:pPr>
      <w:r w:rsidRPr="00E11E6F">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      </w:t>
      </w:r>
      <w:r w:rsidRPr="00E11E6F">
        <w:rPr>
          <w:rFonts w:ascii="Calibri" w:hAnsi="Calibri" w:cs="Calibri"/>
          <w:b/>
          <w:bCs/>
          <w:color w:val="000000"/>
          <w:sz w:val="28"/>
          <w:szCs w:val="28"/>
        </w:rPr>
        <w:t xml:space="preserve">Beef Taskforce </w:t>
      </w:r>
    </w:p>
    <w:p w14:paraId="32E9F651" w14:textId="77777777" w:rsidR="00E11E6F" w:rsidRPr="00E11E6F" w:rsidRDefault="00E11E6F" w:rsidP="00E11E6F">
      <w:pPr>
        <w:autoSpaceDE w:val="0"/>
        <w:autoSpaceDN w:val="0"/>
        <w:adjustRightInd w:val="0"/>
        <w:spacing w:after="0" w:line="240" w:lineRule="auto"/>
        <w:ind w:left="3600"/>
        <w:rPr>
          <w:rFonts w:ascii="Calibri" w:hAnsi="Calibri" w:cs="Calibri"/>
          <w:color w:val="000000"/>
          <w:sz w:val="28"/>
          <w:szCs w:val="28"/>
        </w:rPr>
      </w:pPr>
      <w:r w:rsidRPr="00E11E6F">
        <w:rPr>
          <w:rFonts w:ascii="Calibri" w:hAnsi="Calibri" w:cs="Calibri"/>
          <w:b/>
          <w:bCs/>
          <w:color w:val="000000"/>
          <w:sz w:val="28"/>
          <w:szCs w:val="28"/>
        </w:rPr>
        <w:t xml:space="preserve">Minutes </w:t>
      </w:r>
    </w:p>
    <w:p w14:paraId="549B5C8A" w14:textId="1CF30E07" w:rsidR="00E11E6F" w:rsidRPr="00E11E6F" w:rsidRDefault="00E11E6F" w:rsidP="00E11E6F">
      <w:pPr>
        <w:autoSpaceDE w:val="0"/>
        <w:autoSpaceDN w:val="0"/>
        <w:adjustRightInd w:val="0"/>
        <w:spacing w:after="0" w:line="240" w:lineRule="auto"/>
        <w:ind w:left="1440"/>
        <w:rPr>
          <w:rFonts w:ascii="Calibri" w:hAnsi="Calibri" w:cs="Calibri"/>
          <w:color w:val="000000"/>
          <w:sz w:val="28"/>
          <w:szCs w:val="28"/>
        </w:rPr>
      </w:pPr>
      <w:r>
        <w:rPr>
          <w:rFonts w:ascii="Calibri" w:hAnsi="Calibri" w:cs="Calibri"/>
          <w:b/>
          <w:bCs/>
          <w:color w:val="000000"/>
          <w:sz w:val="28"/>
          <w:szCs w:val="28"/>
        </w:rPr>
        <w:t xml:space="preserve">       </w:t>
      </w:r>
      <w:r w:rsidRPr="00E11E6F">
        <w:rPr>
          <w:rFonts w:ascii="Calibri" w:hAnsi="Calibri" w:cs="Calibri"/>
          <w:b/>
          <w:bCs/>
          <w:color w:val="000000"/>
          <w:sz w:val="28"/>
          <w:szCs w:val="28"/>
        </w:rPr>
        <w:t xml:space="preserve"> Thursday </w:t>
      </w:r>
      <w:r>
        <w:rPr>
          <w:rFonts w:ascii="Calibri" w:hAnsi="Calibri" w:cs="Calibri"/>
          <w:b/>
          <w:bCs/>
          <w:color w:val="000000"/>
          <w:sz w:val="28"/>
          <w:szCs w:val="28"/>
        </w:rPr>
        <w:t>17</w:t>
      </w:r>
      <w:proofErr w:type="gramStart"/>
      <w:r w:rsidRPr="00E11E6F">
        <w:rPr>
          <w:rFonts w:ascii="Calibri" w:hAnsi="Calibri" w:cs="Calibri"/>
          <w:b/>
          <w:bCs/>
          <w:color w:val="000000"/>
          <w:sz w:val="18"/>
          <w:szCs w:val="18"/>
          <w:vertAlign w:val="superscript"/>
        </w:rPr>
        <w:t>th</w:t>
      </w:r>
      <w:r>
        <w:rPr>
          <w:rFonts w:ascii="Calibri" w:hAnsi="Calibri" w:cs="Calibri"/>
          <w:b/>
          <w:bCs/>
          <w:color w:val="000000"/>
          <w:sz w:val="18"/>
          <w:szCs w:val="18"/>
        </w:rPr>
        <w:t xml:space="preserve"> </w:t>
      </w:r>
      <w:r w:rsidRPr="00E11E6F">
        <w:rPr>
          <w:rFonts w:ascii="Calibri" w:hAnsi="Calibri" w:cs="Calibri"/>
          <w:b/>
          <w:bCs/>
          <w:color w:val="000000"/>
          <w:sz w:val="18"/>
          <w:szCs w:val="18"/>
        </w:rPr>
        <w:t xml:space="preserve"> </w:t>
      </w:r>
      <w:r>
        <w:rPr>
          <w:rFonts w:ascii="Calibri" w:hAnsi="Calibri" w:cs="Calibri"/>
          <w:b/>
          <w:bCs/>
          <w:color w:val="000000"/>
          <w:sz w:val="28"/>
          <w:szCs w:val="28"/>
        </w:rPr>
        <w:t>December</w:t>
      </w:r>
      <w:proofErr w:type="gramEnd"/>
      <w:r w:rsidRPr="00E11E6F">
        <w:rPr>
          <w:rFonts w:ascii="Calibri" w:hAnsi="Calibri" w:cs="Calibri"/>
          <w:b/>
          <w:bCs/>
          <w:color w:val="000000"/>
          <w:sz w:val="28"/>
          <w:szCs w:val="28"/>
        </w:rPr>
        <w:t xml:space="preserve"> 2020 </w:t>
      </w:r>
    </w:p>
    <w:p w14:paraId="6739EF2D" w14:textId="77777777" w:rsidR="00E11E6F" w:rsidRPr="00E11E6F" w:rsidRDefault="00E11E6F" w:rsidP="00E11E6F">
      <w:pPr>
        <w:autoSpaceDE w:val="0"/>
        <w:autoSpaceDN w:val="0"/>
        <w:adjustRightInd w:val="0"/>
        <w:spacing w:after="0" w:line="240" w:lineRule="auto"/>
        <w:ind w:left="2880" w:firstLine="720"/>
        <w:rPr>
          <w:rFonts w:ascii="Calibri" w:hAnsi="Calibri" w:cs="Calibri"/>
          <w:color w:val="000000"/>
          <w:sz w:val="28"/>
          <w:szCs w:val="28"/>
        </w:rPr>
      </w:pPr>
      <w:r>
        <w:rPr>
          <w:rFonts w:ascii="Calibri" w:hAnsi="Calibri" w:cs="Calibri"/>
          <w:b/>
          <w:bCs/>
          <w:color w:val="000000"/>
          <w:sz w:val="28"/>
          <w:szCs w:val="28"/>
        </w:rPr>
        <w:t xml:space="preserve">  </w:t>
      </w:r>
      <w:r w:rsidRPr="00E11E6F">
        <w:rPr>
          <w:rFonts w:ascii="Calibri" w:hAnsi="Calibri" w:cs="Calibri"/>
          <w:b/>
          <w:bCs/>
          <w:color w:val="000000"/>
          <w:sz w:val="28"/>
          <w:szCs w:val="28"/>
        </w:rPr>
        <w:t xml:space="preserve">Virtual </w:t>
      </w:r>
    </w:p>
    <w:p w14:paraId="34997168" w14:textId="77777777" w:rsidR="00E11E6F" w:rsidRDefault="00E11E6F" w:rsidP="00E11E6F">
      <w:pPr>
        <w:ind w:left="2880"/>
        <w:rPr>
          <w:rFonts w:ascii="Calibri" w:hAnsi="Calibri" w:cs="Calibri"/>
          <w:b/>
          <w:bCs/>
          <w:color w:val="000000"/>
          <w:sz w:val="28"/>
          <w:szCs w:val="28"/>
        </w:rPr>
      </w:pPr>
      <w:r>
        <w:rPr>
          <w:rFonts w:ascii="Calibri" w:hAnsi="Calibri" w:cs="Calibri"/>
          <w:b/>
          <w:bCs/>
          <w:color w:val="000000"/>
          <w:sz w:val="28"/>
          <w:szCs w:val="28"/>
        </w:rPr>
        <w:t xml:space="preserve">       9.30am – 1</w:t>
      </w:r>
      <w:r w:rsidRPr="00E11E6F">
        <w:rPr>
          <w:rFonts w:ascii="Calibri" w:hAnsi="Calibri" w:cs="Calibri"/>
          <w:b/>
          <w:bCs/>
          <w:color w:val="000000"/>
          <w:sz w:val="28"/>
          <w:szCs w:val="28"/>
        </w:rPr>
        <w:t>pm</w:t>
      </w:r>
    </w:p>
    <w:p w14:paraId="7DA0775F" w14:textId="77777777" w:rsidR="00E11E6F" w:rsidRDefault="00E11E6F" w:rsidP="00A4542A">
      <w:pPr>
        <w:rPr>
          <w:rFonts w:ascii="Calibri" w:hAnsi="Calibri" w:cs="Calibri"/>
          <w:b/>
          <w:bCs/>
          <w:color w:val="000000"/>
          <w:sz w:val="28"/>
          <w:szCs w:val="28"/>
        </w:rPr>
      </w:pPr>
    </w:p>
    <w:p w14:paraId="10107A7D" w14:textId="77777777" w:rsidR="00A4542A" w:rsidRPr="006E77F8" w:rsidRDefault="00A4542A" w:rsidP="00A4542A">
      <w:pPr>
        <w:rPr>
          <w:rFonts w:cstheme="minorHAnsi"/>
          <w:b/>
          <w:bCs/>
          <w:sz w:val="24"/>
          <w:szCs w:val="24"/>
          <w:lang w:eastAsia="en-IE"/>
        </w:rPr>
      </w:pPr>
      <w:r w:rsidRPr="006E77F8">
        <w:rPr>
          <w:rFonts w:cstheme="minorHAnsi"/>
          <w:b/>
          <w:bCs/>
          <w:sz w:val="24"/>
          <w:szCs w:val="24"/>
          <w:lang w:eastAsia="en-IE"/>
        </w:rPr>
        <w:t>Attendees:</w:t>
      </w:r>
    </w:p>
    <w:tbl>
      <w:tblPr>
        <w:tblW w:w="9748" w:type="dxa"/>
        <w:tblLayout w:type="fixed"/>
        <w:tblCellMar>
          <w:left w:w="0" w:type="dxa"/>
          <w:right w:w="0" w:type="dxa"/>
        </w:tblCellMar>
        <w:tblLook w:val="04A0" w:firstRow="1" w:lastRow="0" w:firstColumn="1" w:lastColumn="0" w:noHBand="0" w:noVBand="1"/>
      </w:tblPr>
      <w:tblGrid>
        <w:gridCol w:w="1838"/>
        <w:gridCol w:w="255"/>
        <w:gridCol w:w="1871"/>
        <w:gridCol w:w="255"/>
        <w:gridCol w:w="567"/>
        <w:gridCol w:w="1304"/>
        <w:gridCol w:w="255"/>
        <w:gridCol w:w="1276"/>
        <w:gridCol w:w="851"/>
        <w:gridCol w:w="1276"/>
      </w:tblGrid>
      <w:tr w:rsidR="00A4542A" w:rsidRPr="006E77F8" w14:paraId="5D0C98B9" w14:textId="77777777" w:rsidTr="007F107A">
        <w:trPr>
          <w:trHeight w:val="540"/>
        </w:trPr>
        <w:tc>
          <w:tcPr>
            <w:tcW w:w="2093" w:type="dxa"/>
            <w:gridSpan w:val="2"/>
            <w:noWrap/>
            <w:tcMar>
              <w:top w:w="0" w:type="dxa"/>
              <w:left w:w="108" w:type="dxa"/>
              <w:bottom w:w="0" w:type="dxa"/>
              <w:right w:w="108" w:type="dxa"/>
            </w:tcMar>
            <w:vAlign w:val="center"/>
            <w:hideMark/>
          </w:tcPr>
          <w:p w14:paraId="6337D45E" w14:textId="77777777" w:rsidR="00A4542A" w:rsidRPr="006E77F8" w:rsidRDefault="00A4542A" w:rsidP="007F107A">
            <w:pPr>
              <w:rPr>
                <w:rFonts w:cstheme="minorHAnsi"/>
                <w:b/>
                <w:bCs/>
                <w:sz w:val="24"/>
                <w:szCs w:val="24"/>
                <w:lang w:eastAsia="en-IE"/>
              </w:rPr>
            </w:pPr>
            <w:r w:rsidRPr="006E77F8">
              <w:rPr>
                <w:rFonts w:cstheme="minorHAnsi"/>
                <w:b/>
                <w:bCs/>
                <w:sz w:val="24"/>
                <w:szCs w:val="24"/>
                <w:lang w:eastAsia="en-IE"/>
              </w:rPr>
              <w:t>Name</w:t>
            </w:r>
          </w:p>
        </w:tc>
        <w:tc>
          <w:tcPr>
            <w:tcW w:w="2126" w:type="dxa"/>
            <w:gridSpan w:val="2"/>
            <w:noWrap/>
            <w:tcMar>
              <w:top w:w="0" w:type="dxa"/>
              <w:left w:w="108" w:type="dxa"/>
              <w:bottom w:w="0" w:type="dxa"/>
              <w:right w:w="108" w:type="dxa"/>
            </w:tcMar>
            <w:vAlign w:val="center"/>
            <w:hideMark/>
          </w:tcPr>
          <w:p w14:paraId="6FDAF482" w14:textId="77777777" w:rsidR="00A4542A" w:rsidRPr="006E77F8" w:rsidRDefault="00A4542A" w:rsidP="007F107A">
            <w:pPr>
              <w:rPr>
                <w:rFonts w:cstheme="minorHAnsi"/>
                <w:b/>
                <w:bCs/>
                <w:sz w:val="24"/>
                <w:szCs w:val="24"/>
                <w:lang w:eastAsia="en-IE"/>
              </w:rPr>
            </w:pPr>
            <w:r w:rsidRPr="006E77F8">
              <w:rPr>
                <w:rFonts w:cstheme="minorHAnsi"/>
                <w:b/>
                <w:bCs/>
                <w:sz w:val="24"/>
                <w:szCs w:val="24"/>
                <w:lang w:eastAsia="en-IE"/>
              </w:rPr>
              <w:t>Representing</w:t>
            </w:r>
          </w:p>
        </w:tc>
        <w:tc>
          <w:tcPr>
            <w:tcW w:w="567" w:type="dxa"/>
            <w:vMerge w:val="restart"/>
          </w:tcPr>
          <w:p w14:paraId="3DE321AD" w14:textId="77777777" w:rsidR="00A4542A" w:rsidRPr="006E77F8" w:rsidRDefault="00A4542A" w:rsidP="007F107A">
            <w:pPr>
              <w:rPr>
                <w:rFonts w:cstheme="minorHAnsi"/>
                <w:b/>
                <w:bCs/>
                <w:sz w:val="24"/>
                <w:szCs w:val="24"/>
                <w:lang w:eastAsia="en-IE"/>
              </w:rPr>
            </w:pPr>
          </w:p>
        </w:tc>
        <w:tc>
          <w:tcPr>
            <w:tcW w:w="2835" w:type="dxa"/>
            <w:gridSpan w:val="3"/>
            <w:vAlign w:val="center"/>
          </w:tcPr>
          <w:p w14:paraId="4D8FCCD4" w14:textId="77777777" w:rsidR="00A4542A" w:rsidRPr="006E77F8" w:rsidRDefault="00A4542A" w:rsidP="007F107A">
            <w:pPr>
              <w:rPr>
                <w:rFonts w:cstheme="minorHAnsi"/>
                <w:b/>
                <w:bCs/>
                <w:sz w:val="24"/>
                <w:szCs w:val="24"/>
                <w:lang w:eastAsia="en-IE"/>
              </w:rPr>
            </w:pPr>
            <w:r w:rsidRPr="006E77F8">
              <w:rPr>
                <w:rFonts w:cstheme="minorHAnsi"/>
                <w:b/>
                <w:bCs/>
                <w:sz w:val="24"/>
                <w:szCs w:val="24"/>
                <w:lang w:eastAsia="en-IE"/>
              </w:rPr>
              <w:t>Name</w:t>
            </w:r>
          </w:p>
        </w:tc>
        <w:tc>
          <w:tcPr>
            <w:tcW w:w="2127" w:type="dxa"/>
            <w:gridSpan w:val="2"/>
            <w:vAlign w:val="center"/>
          </w:tcPr>
          <w:p w14:paraId="20B1B8D5" w14:textId="77777777" w:rsidR="00A4542A" w:rsidRPr="006E77F8" w:rsidRDefault="00A4542A" w:rsidP="007F107A">
            <w:pPr>
              <w:rPr>
                <w:rFonts w:cstheme="minorHAnsi"/>
                <w:b/>
                <w:bCs/>
                <w:sz w:val="24"/>
                <w:szCs w:val="24"/>
                <w:lang w:eastAsia="en-IE"/>
              </w:rPr>
            </w:pPr>
            <w:r w:rsidRPr="006E77F8">
              <w:rPr>
                <w:rFonts w:cstheme="minorHAnsi"/>
                <w:b/>
                <w:bCs/>
                <w:sz w:val="24"/>
                <w:szCs w:val="24"/>
                <w:lang w:eastAsia="en-IE"/>
              </w:rPr>
              <w:t>Representing</w:t>
            </w:r>
          </w:p>
        </w:tc>
      </w:tr>
      <w:tr w:rsidR="00A4542A" w:rsidRPr="006E77F8" w14:paraId="7709B951" w14:textId="77777777" w:rsidTr="007F107A">
        <w:trPr>
          <w:trHeight w:val="315"/>
        </w:trPr>
        <w:tc>
          <w:tcPr>
            <w:tcW w:w="2093" w:type="dxa"/>
            <w:gridSpan w:val="2"/>
            <w:noWrap/>
            <w:tcMar>
              <w:top w:w="0" w:type="dxa"/>
              <w:left w:w="108" w:type="dxa"/>
              <w:bottom w:w="0" w:type="dxa"/>
              <w:right w:w="108" w:type="dxa"/>
            </w:tcMar>
            <w:vAlign w:val="bottom"/>
          </w:tcPr>
          <w:p w14:paraId="474BC6C6"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Michael Dowling</w:t>
            </w:r>
          </w:p>
        </w:tc>
        <w:tc>
          <w:tcPr>
            <w:tcW w:w="2126" w:type="dxa"/>
            <w:gridSpan w:val="2"/>
            <w:noWrap/>
            <w:tcMar>
              <w:top w:w="0" w:type="dxa"/>
              <w:left w:w="108" w:type="dxa"/>
              <w:bottom w:w="0" w:type="dxa"/>
              <w:right w:w="108" w:type="dxa"/>
            </w:tcMar>
            <w:vAlign w:val="bottom"/>
          </w:tcPr>
          <w:p w14:paraId="41158467"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 xml:space="preserve">Chair </w:t>
            </w:r>
          </w:p>
        </w:tc>
        <w:tc>
          <w:tcPr>
            <w:tcW w:w="567" w:type="dxa"/>
            <w:vMerge/>
          </w:tcPr>
          <w:p w14:paraId="71854186" w14:textId="77777777" w:rsidR="00A4542A" w:rsidRPr="006E77F8" w:rsidRDefault="00A4542A" w:rsidP="007F107A">
            <w:pPr>
              <w:rPr>
                <w:rFonts w:cstheme="minorHAnsi"/>
                <w:sz w:val="24"/>
                <w:szCs w:val="24"/>
                <w:lang w:eastAsia="en-IE"/>
              </w:rPr>
            </w:pPr>
          </w:p>
        </w:tc>
        <w:tc>
          <w:tcPr>
            <w:tcW w:w="2835" w:type="dxa"/>
            <w:gridSpan w:val="3"/>
            <w:vAlign w:val="bottom"/>
          </w:tcPr>
          <w:p w14:paraId="202FB747"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Aidan Murray</w:t>
            </w:r>
          </w:p>
        </w:tc>
        <w:tc>
          <w:tcPr>
            <w:tcW w:w="2127" w:type="dxa"/>
            <w:gridSpan w:val="2"/>
            <w:vAlign w:val="bottom"/>
          </w:tcPr>
          <w:p w14:paraId="6196F389"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Teagasc</w:t>
            </w:r>
          </w:p>
        </w:tc>
      </w:tr>
      <w:tr w:rsidR="00A4542A" w:rsidRPr="006E77F8" w14:paraId="4B83794B" w14:textId="77777777" w:rsidTr="007F107A">
        <w:trPr>
          <w:trHeight w:val="315"/>
        </w:trPr>
        <w:tc>
          <w:tcPr>
            <w:tcW w:w="2093" w:type="dxa"/>
            <w:gridSpan w:val="2"/>
            <w:noWrap/>
            <w:tcMar>
              <w:top w:w="0" w:type="dxa"/>
              <w:left w:w="108" w:type="dxa"/>
              <w:bottom w:w="0" w:type="dxa"/>
              <w:right w:w="108" w:type="dxa"/>
            </w:tcMar>
            <w:vAlign w:val="bottom"/>
            <w:hideMark/>
          </w:tcPr>
          <w:p w14:paraId="4B173D81"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Sinead McPhillips</w:t>
            </w:r>
          </w:p>
        </w:tc>
        <w:tc>
          <w:tcPr>
            <w:tcW w:w="2126" w:type="dxa"/>
            <w:gridSpan w:val="2"/>
            <w:noWrap/>
            <w:tcMar>
              <w:top w:w="0" w:type="dxa"/>
              <w:left w:w="108" w:type="dxa"/>
              <w:bottom w:w="0" w:type="dxa"/>
              <w:right w:w="108" w:type="dxa"/>
            </w:tcMar>
            <w:vAlign w:val="bottom"/>
            <w:hideMark/>
          </w:tcPr>
          <w:p w14:paraId="559F590D"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DAFM</w:t>
            </w:r>
          </w:p>
        </w:tc>
        <w:tc>
          <w:tcPr>
            <w:tcW w:w="567" w:type="dxa"/>
            <w:vMerge/>
          </w:tcPr>
          <w:p w14:paraId="5D2823BC" w14:textId="77777777" w:rsidR="00A4542A" w:rsidRPr="006E77F8" w:rsidRDefault="00A4542A" w:rsidP="007F107A">
            <w:pPr>
              <w:rPr>
                <w:rFonts w:cstheme="minorHAnsi"/>
                <w:sz w:val="24"/>
                <w:szCs w:val="24"/>
                <w:lang w:eastAsia="en-IE"/>
              </w:rPr>
            </w:pPr>
          </w:p>
        </w:tc>
        <w:tc>
          <w:tcPr>
            <w:tcW w:w="2835" w:type="dxa"/>
            <w:gridSpan w:val="3"/>
            <w:vAlign w:val="bottom"/>
          </w:tcPr>
          <w:p w14:paraId="67EFBF3B"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 xml:space="preserve">Tim Cullinan </w:t>
            </w:r>
          </w:p>
        </w:tc>
        <w:tc>
          <w:tcPr>
            <w:tcW w:w="2127" w:type="dxa"/>
            <w:gridSpan w:val="2"/>
            <w:vAlign w:val="bottom"/>
          </w:tcPr>
          <w:p w14:paraId="738835C3"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IFA</w:t>
            </w:r>
          </w:p>
        </w:tc>
      </w:tr>
      <w:tr w:rsidR="00A4542A" w:rsidRPr="006E77F8" w14:paraId="0426646D" w14:textId="77777777" w:rsidTr="007F107A">
        <w:trPr>
          <w:trHeight w:val="315"/>
        </w:trPr>
        <w:tc>
          <w:tcPr>
            <w:tcW w:w="2093" w:type="dxa"/>
            <w:gridSpan w:val="2"/>
            <w:noWrap/>
            <w:tcMar>
              <w:top w:w="0" w:type="dxa"/>
              <w:left w:w="108" w:type="dxa"/>
              <w:bottom w:w="0" w:type="dxa"/>
              <w:right w:w="108" w:type="dxa"/>
            </w:tcMar>
            <w:vAlign w:val="bottom"/>
            <w:hideMark/>
          </w:tcPr>
          <w:p w14:paraId="0DD10B0A"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Pat McCormack</w:t>
            </w:r>
          </w:p>
        </w:tc>
        <w:tc>
          <w:tcPr>
            <w:tcW w:w="2126" w:type="dxa"/>
            <w:gridSpan w:val="2"/>
            <w:noWrap/>
            <w:tcMar>
              <w:top w:w="0" w:type="dxa"/>
              <w:left w:w="108" w:type="dxa"/>
              <w:bottom w:w="0" w:type="dxa"/>
              <w:right w:w="108" w:type="dxa"/>
            </w:tcMar>
            <w:vAlign w:val="bottom"/>
            <w:hideMark/>
          </w:tcPr>
          <w:p w14:paraId="27A13B7A"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ICMSA</w:t>
            </w:r>
          </w:p>
        </w:tc>
        <w:tc>
          <w:tcPr>
            <w:tcW w:w="567" w:type="dxa"/>
            <w:vMerge/>
          </w:tcPr>
          <w:p w14:paraId="6F737DAD" w14:textId="77777777" w:rsidR="00A4542A" w:rsidRPr="006E77F8" w:rsidRDefault="00A4542A" w:rsidP="007F107A">
            <w:pPr>
              <w:rPr>
                <w:rFonts w:cstheme="minorHAnsi"/>
                <w:sz w:val="24"/>
                <w:szCs w:val="24"/>
                <w:lang w:eastAsia="en-IE"/>
              </w:rPr>
            </w:pPr>
          </w:p>
        </w:tc>
        <w:tc>
          <w:tcPr>
            <w:tcW w:w="2835" w:type="dxa"/>
            <w:gridSpan w:val="3"/>
            <w:vAlign w:val="bottom"/>
          </w:tcPr>
          <w:p w14:paraId="3CA94531" w14:textId="77777777" w:rsidR="00A4542A" w:rsidRPr="006E77F8" w:rsidRDefault="00A4542A" w:rsidP="007F107A">
            <w:pPr>
              <w:rPr>
                <w:rFonts w:cstheme="minorHAnsi"/>
                <w:sz w:val="24"/>
                <w:szCs w:val="24"/>
                <w:lang w:eastAsia="en-IE"/>
              </w:rPr>
            </w:pPr>
            <w:r>
              <w:rPr>
                <w:rFonts w:cstheme="minorHAnsi"/>
                <w:sz w:val="24"/>
                <w:szCs w:val="24"/>
                <w:lang w:eastAsia="en-IE"/>
              </w:rPr>
              <w:t>Tomas Bourke</w:t>
            </w:r>
          </w:p>
        </w:tc>
        <w:tc>
          <w:tcPr>
            <w:tcW w:w="2127" w:type="dxa"/>
            <w:gridSpan w:val="2"/>
            <w:vAlign w:val="bottom"/>
          </w:tcPr>
          <w:p w14:paraId="44D03FA5" w14:textId="77777777" w:rsidR="00A4542A" w:rsidRPr="006E77F8" w:rsidRDefault="00A4542A" w:rsidP="007F107A">
            <w:pPr>
              <w:rPr>
                <w:rFonts w:cstheme="minorHAnsi"/>
                <w:sz w:val="24"/>
                <w:szCs w:val="24"/>
                <w:lang w:eastAsia="en-IE"/>
              </w:rPr>
            </w:pPr>
            <w:r w:rsidRPr="006E77F8">
              <w:rPr>
                <w:rFonts w:cstheme="minorHAnsi"/>
                <w:sz w:val="24"/>
                <w:szCs w:val="24"/>
                <w:lang w:eastAsia="en-IE"/>
              </w:rPr>
              <w:t>IFA</w:t>
            </w:r>
          </w:p>
        </w:tc>
      </w:tr>
      <w:tr w:rsidR="00824D62" w:rsidRPr="006E77F8" w14:paraId="0D69A5D4" w14:textId="77777777" w:rsidTr="00193944">
        <w:trPr>
          <w:trHeight w:val="315"/>
        </w:trPr>
        <w:tc>
          <w:tcPr>
            <w:tcW w:w="2093" w:type="dxa"/>
            <w:gridSpan w:val="2"/>
            <w:noWrap/>
            <w:tcMar>
              <w:top w:w="0" w:type="dxa"/>
              <w:left w:w="108" w:type="dxa"/>
              <w:bottom w:w="0" w:type="dxa"/>
              <w:right w:w="108" w:type="dxa"/>
            </w:tcMar>
            <w:vAlign w:val="bottom"/>
          </w:tcPr>
          <w:p w14:paraId="4FE76803" w14:textId="1A7E3E92" w:rsidR="00824D62" w:rsidRDefault="00824D62" w:rsidP="00824D62">
            <w:r>
              <w:rPr>
                <w:rFonts w:cstheme="minorHAnsi"/>
                <w:sz w:val="24"/>
                <w:szCs w:val="24"/>
                <w:lang w:eastAsia="en-IE"/>
              </w:rPr>
              <w:t>Ray Doyle</w:t>
            </w:r>
          </w:p>
        </w:tc>
        <w:tc>
          <w:tcPr>
            <w:tcW w:w="2126" w:type="dxa"/>
            <w:gridSpan w:val="2"/>
            <w:noWrap/>
            <w:tcMar>
              <w:top w:w="0" w:type="dxa"/>
              <w:left w:w="108" w:type="dxa"/>
              <w:bottom w:w="0" w:type="dxa"/>
              <w:right w:w="108" w:type="dxa"/>
            </w:tcMar>
            <w:vAlign w:val="bottom"/>
          </w:tcPr>
          <w:p w14:paraId="7B8E20B0" w14:textId="78331BA3" w:rsidR="00824D62" w:rsidRDefault="00824D62" w:rsidP="00824D62">
            <w:r>
              <w:rPr>
                <w:rFonts w:cstheme="minorHAnsi"/>
                <w:sz w:val="24"/>
                <w:szCs w:val="24"/>
                <w:lang w:eastAsia="en-IE"/>
              </w:rPr>
              <w:t>ICOS</w:t>
            </w:r>
          </w:p>
        </w:tc>
        <w:tc>
          <w:tcPr>
            <w:tcW w:w="567" w:type="dxa"/>
            <w:vMerge/>
          </w:tcPr>
          <w:p w14:paraId="16890BD5" w14:textId="77777777" w:rsidR="00824D62" w:rsidRPr="006E77F8" w:rsidRDefault="00824D62" w:rsidP="00824D62">
            <w:pPr>
              <w:rPr>
                <w:rFonts w:cstheme="minorHAnsi"/>
                <w:sz w:val="24"/>
                <w:szCs w:val="24"/>
                <w:lang w:eastAsia="en-IE"/>
              </w:rPr>
            </w:pPr>
          </w:p>
        </w:tc>
        <w:tc>
          <w:tcPr>
            <w:tcW w:w="2835" w:type="dxa"/>
            <w:gridSpan w:val="3"/>
            <w:vAlign w:val="bottom"/>
          </w:tcPr>
          <w:p w14:paraId="2297A2A7"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 xml:space="preserve">Edmond Phelan </w:t>
            </w:r>
          </w:p>
        </w:tc>
        <w:tc>
          <w:tcPr>
            <w:tcW w:w="2127" w:type="dxa"/>
            <w:gridSpan w:val="2"/>
            <w:vAlign w:val="bottom"/>
          </w:tcPr>
          <w:p w14:paraId="2E47A3F4"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ICSA</w:t>
            </w:r>
          </w:p>
        </w:tc>
      </w:tr>
      <w:tr w:rsidR="00824D62" w:rsidRPr="006E77F8" w14:paraId="19F24638" w14:textId="77777777" w:rsidTr="007F107A">
        <w:trPr>
          <w:trHeight w:val="315"/>
        </w:trPr>
        <w:tc>
          <w:tcPr>
            <w:tcW w:w="2093" w:type="dxa"/>
            <w:gridSpan w:val="2"/>
            <w:noWrap/>
            <w:tcMar>
              <w:top w:w="0" w:type="dxa"/>
              <w:left w:w="108" w:type="dxa"/>
              <w:bottom w:w="0" w:type="dxa"/>
              <w:right w:w="108" w:type="dxa"/>
            </w:tcMar>
            <w:vAlign w:val="bottom"/>
          </w:tcPr>
          <w:p w14:paraId="290B75DB"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 xml:space="preserve">Thomas Duffy   </w:t>
            </w:r>
          </w:p>
        </w:tc>
        <w:tc>
          <w:tcPr>
            <w:tcW w:w="2126" w:type="dxa"/>
            <w:gridSpan w:val="2"/>
            <w:noWrap/>
            <w:tcMar>
              <w:top w:w="0" w:type="dxa"/>
              <w:left w:w="108" w:type="dxa"/>
              <w:bottom w:w="0" w:type="dxa"/>
              <w:right w:w="108" w:type="dxa"/>
            </w:tcMar>
            <w:vAlign w:val="bottom"/>
          </w:tcPr>
          <w:p w14:paraId="37B5231B"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MACRA</w:t>
            </w:r>
          </w:p>
        </w:tc>
        <w:tc>
          <w:tcPr>
            <w:tcW w:w="567" w:type="dxa"/>
            <w:vMerge/>
          </w:tcPr>
          <w:p w14:paraId="3B10A6C3" w14:textId="77777777" w:rsidR="00824D62" w:rsidRPr="006E77F8" w:rsidRDefault="00824D62" w:rsidP="00824D62">
            <w:pPr>
              <w:rPr>
                <w:rFonts w:cstheme="minorHAnsi"/>
                <w:sz w:val="24"/>
                <w:szCs w:val="24"/>
                <w:lang w:eastAsia="en-IE"/>
              </w:rPr>
            </w:pPr>
          </w:p>
        </w:tc>
        <w:tc>
          <w:tcPr>
            <w:tcW w:w="2835" w:type="dxa"/>
            <w:gridSpan w:val="3"/>
            <w:vAlign w:val="bottom"/>
          </w:tcPr>
          <w:p w14:paraId="08DA6C85" w14:textId="77777777" w:rsidR="00824D62" w:rsidRPr="00D717BB" w:rsidRDefault="00824D62" w:rsidP="00824D62">
            <w:pPr>
              <w:rPr>
                <w:rFonts w:cstheme="minorHAnsi"/>
                <w:sz w:val="24"/>
                <w:szCs w:val="24"/>
                <w:lang w:eastAsia="en-IE"/>
              </w:rPr>
            </w:pPr>
            <w:r w:rsidRPr="00D717BB">
              <w:rPr>
                <w:rFonts w:cstheme="minorHAnsi"/>
                <w:sz w:val="24"/>
                <w:szCs w:val="24"/>
                <w:lang w:eastAsia="en-IE"/>
              </w:rPr>
              <w:t>Edmund Graham</w:t>
            </w:r>
          </w:p>
        </w:tc>
        <w:tc>
          <w:tcPr>
            <w:tcW w:w="2127" w:type="dxa"/>
            <w:gridSpan w:val="2"/>
            <w:vAlign w:val="bottom"/>
          </w:tcPr>
          <w:p w14:paraId="3E81F073" w14:textId="77777777" w:rsidR="00824D62" w:rsidRPr="00D717BB" w:rsidRDefault="00824D62" w:rsidP="00824D62">
            <w:pPr>
              <w:rPr>
                <w:rFonts w:cstheme="minorHAnsi"/>
                <w:sz w:val="24"/>
                <w:szCs w:val="24"/>
                <w:lang w:eastAsia="en-IE"/>
              </w:rPr>
            </w:pPr>
            <w:r w:rsidRPr="00D717BB">
              <w:rPr>
                <w:rFonts w:cstheme="minorHAnsi"/>
                <w:sz w:val="24"/>
                <w:szCs w:val="24"/>
                <w:lang w:eastAsia="en-IE"/>
              </w:rPr>
              <w:t>ICSA</w:t>
            </w:r>
          </w:p>
        </w:tc>
      </w:tr>
      <w:tr w:rsidR="00824D62" w:rsidRPr="006E77F8" w14:paraId="7C149D1D" w14:textId="77777777" w:rsidTr="007F107A">
        <w:trPr>
          <w:trHeight w:val="315"/>
        </w:trPr>
        <w:tc>
          <w:tcPr>
            <w:tcW w:w="2093" w:type="dxa"/>
            <w:gridSpan w:val="2"/>
            <w:noWrap/>
            <w:tcMar>
              <w:top w:w="0" w:type="dxa"/>
              <w:left w:w="108" w:type="dxa"/>
              <w:bottom w:w="0" w:type="dxa"/>
              <w:right w:w="108" w:type="dxa"/>
            </w:tcMar>
            <w:vAlign w:val="bottom"/>
          </w:tcPr>
          <w:p w14:paraId="7E7C8F08" w14:textId="77777777" w:rsidR="00824D62" w:rsidRPr="00D717BB" w:rsidDel="00AD649B" w:rsidRDefault="00824D62" w:rsidP="00824D62">
            <w:pPr>
              <w:rPr>
                <w:rFonts w:cstheme="minorHAnsi"/>
                <w:sz w:val="24"/>
                <w:szCs w:val="24"/>
                <w:lang w:eastAsia="en-IE"/>
              </w:rPr>
            </w:pPr>
            <w:r w:rsidRPr="00D717BB">
              <w:rPr>
                <w:rFonts w:cstheme="minorHAnsi"/>
                <w:sz w:val="24"/>
                <w:szCs w:val="24"/>
                <w:lang w:eastAsia="en-IE"/>
              </w:rPr>
              <w:t>Derrie Dillon</w:t>
            </w:r>
          </w:p>
        </w:tc>
        <w:tc>
          <w:tcPr>
            <w:tcW w:w="2126" w:type="dxa"/>
            <w:gridSpan w:val="2"/>
            <w:noWrap/>
            <w:tcMar>
              <w:top w:w="0" w:type="dxa"/>
              <w:left w:w="108" w:type="dxa"/>
              <w:bottom w:w="0" w:type="dxa"/>
              <w:right w:w="108" w:type="dxa"/>
            </w:tcMar>
            <w:vAlign w:val="bottom"/>
          </w:tcPr>
          <w:p w14:paraId="0B882B0F" w14:textId="77777777" w:rsidR="00824D62" w:rsidRPr="00D717BB" w:rsidDel="00AD649B" w:rsidRDefault="00824D62" w:rsidP="00824D62">
            <w:pPr>
              <w:rPr>
                <w:rFonts w:cstheme="minorHAnsi"/>
                <w:sz w:val="24"/>
                <w:szCs w:val="24"/>
                <w:lang w:eastAsia="en-IE"/>
              </w:rPr>
            </w:pPr>
            <w:r w:rsidRPr="00D717BB">
              <w:rPr>
                <w:rFonts w:cstheme="minorHAnsi"/>
                <w:sz w:val="24"/>
                <w:szCs w:val="24"/>
                <w:lang w:eastAsia="en-IE"/>
              </w:rPr>
              <w:t>MACRA</w:t>
            </w:r>
          </w:p>
        </w:tc>
        <w:tc>
          <w:tcPr>
            <w:tcW w:w="567" w:type="dxa"/>
            <w:vMerge/>
          </w:tcPr>
          <w:p w14:paraId="01E88963" w14:textId="77777777" w:rsidR="00824D62" w:rsidRPr="006E77F8" w:rsidRDefault="00824D62" w:rsidP="00824D62">
            <w:pPr>
              <w:rPr>
                <w:rFonts w:cstheme="minorHAnsi"/>
                <w:sz w:val="24"/>
                <w:szCs w:val="24"/>
                <w:lang w:eastAsia="en-IE"/>
              </w:rPr>
            </w:pPr>
          </w:p>
        </w:tc>
        <w:tc>
          <w:tcPr>
            <w:tcW w:w="2835" w:type="dxa"/>
            <w:gridSpan w:val="3"/>
            <w:vAlign w:val="bottom"/>
          </w:tcPr>
          <w:p w14:paraId="50EB5183" w14:textId="77777777" w:rsidR="00824D62" w:rsidRPr="006E77F8" w:rsidRDefault="00824D62" w:rsidP="00824D62">
            <w:pPr>
              <w:rPr>
                <w:rFonts w:cstheme="minorHAnsi"/>
                <w:sz w:val="24"/>
                <w:szCs w:val="24"/>
                <w:lang w:eastAsia="en-IE"/>
              </w:rPr>
            </w:pPr>
            <w:r>
              <w:rPr>
                <w:rFonts w:cstheme="minorHAnsi"/>
                <w:sz w:val="24"/>
                <w:szCs w:val="24"/>
                <w:lang w:eastAsia="en-IE"/>
              </w:rPr>
              <w:t>Colm O’Donnell</w:t>
            </w:r>
          </w:p>
        </w:tc>
        <w:tc>
          <w:tcPr>
            <w:tcW w:w="2127" w:type="dxa"/>
            <w:gridSpan w:val="2"/>
            <w:vAlign w:val="bottom"/>
          </w:tcPr>
          <w:p w14:paraId="6EA2F16C"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INHFA</w:t>
            </w:r>
          </w:p>
        </w:tc>
      </w:tr>
      <w:tr w:rsidR="00824D62" w:rsidRPr="006E77F8" w14:paraId="2049C8E6" w14:textId="77777777" w:rsidTr="007F107A">
        <w:trPr>
          <w:trHeight w:val="315"/>
        </w:trPr>
        <w:tc>
          <w:tcPr>
            <w:tcW w:w="2093" w:type="dxa"/>
            <w:gridSpan w:val="2"/>
            <w:noWrap/>
            <w:tcMar>
              <w:top w:w="0" w:type="dxa"/>
              <w:left w:w="108" w:type="dxa"/>
              <w:bottom w:w="0" w:type="dxa"/>
              <w:right w:w="108" w:type="dxa"/>
            </w:tcMar>
            <w:vAlign w:val="bottom"/>
          </w:tcPr>
          <w:p w14:paraId="3DDC5C7E" w14:textId="77777777" w:rsidR="00824D62" w:rsidRPr="006E77F8" w:rsidDel="00AD649B" w:rsidRDefault="00824D62" w:rsidP="00824D62">
            <w:pPr>
              <w:rPr>
                <w:rFonts w:cstheme="minorHAnsi"/>
                <w:sz w:val="24"/>
                <w:szCs w:val="24"/>
                <w:lang w:eastAsia="en-IE"/>
              </w:rPr>
            </w:pPr>
            <w:r w:rsidRPr="006E77F8">
              <w:rPr>
                <w:rFonts w:cstheme="minorHAnsi"/>
                <w:sz w:val="24"/>
                <w:szCs w:val="24"/>
                <w:lang w:eastAsia="en-IE"/>
              </w:rPr>
              <w:t>Philip Carroll</w:t>
            </w:r>
          </w:p>
        </w:tc>
        <w:tc>
          <w:tcPr>
            <w:tcW w:w="2126" w:type="dxa"/>
            <w:gridSpan w:val="2"/>
            <w:noWrap/>
            <w:tcMar>
              <w:top w:w="0" w:type="dxa"/>
              <w:left w:w="108" w:type="dxa"/>
              <w:bottom w:w="0" w:type="dxa"/>
              <w:right w:w="108" w:type="dxa"/>
            </w:tcMar>
            <w:vAlign w:val="bottom"/>
          </w:tcPr>
          <w:p w14:paraId="49D52A76" w14:textId="77777777" w:rsidR="00824D62" w:rsidRPr="006E77F8" w:rsidDel="00AD649B" w:rsidRDefault="00824D62" w:rsidP="00824D62">
            <w:pPr>
              <w:rPr>
                <w:rFonts w:cstheme="minorHAnsi"/>
                <w:sz w:val="24"/>
                <w:szCs w:val="24"/>
                <w:lang w:eastAsia="en-IE"/>
              </w:rPr>
            </w:pPr>
            <w:r w:rsidRPr="006E77F8">
              <w:rPr>
                <w:rFonts w:cstheme="minorHAnsi"/>
                <w:sz w:val="24"/>
                <w:szCs w:val="24"/>
                <w:lang w:eastAsia="en-IE"/>
              </w:rPr>
              <w:t>MII</w:t>
            </w:r>
          </w:p>
        </w:tc>
        <w:tc>
          <w:tcPr>
            <w:tcW w:w="567" w:type="dxa"/>
            <w:vMerge/>
          </w:tcPr>
          <w:p w14:paraId="11CABECC" w14:textId="77777777" w:rsidR="00824D62" w:rsidRPr="006E77F8" w:rsidRDefault="00824D62" w:rsidP="00824D62">
            <w:pPr>
              <w:rPr>
                <w:rFonts w:cstheme="minorHAnsi"/>
                <w:sz w:val="24"/>
                <w:szCs w:val="24"/>
                <w:lang w:eastAsia="en-IE"/>
              </w:rPr>
            </w:pPr>
          </w:p>
        </w:tc>
        <w:tc>
          <w:tcPr>
            <w:tcW w:w="2835" w:type="dxa"/>
            <w:gridSpan w:val="3"/>
            <w:vAlign w:val="bottom"/>
          </w:tcPr>
          <w:p w14:paraId="2A0647FD" w14:textId="77777777" w:rsidR="00824D62" w:rsidRPr="006E77F8" w:rsidDel="008F198F" w:rsidRDefault="00824D62" w:rsidP="00824D62">
            <w:pPr>
              <w:rPr>
                <w:rFonts w:cstheme="minorHAnsi"/>
                <w:sz w:val="24"/>
                <w:szCs w:val="24"/>
                <w:lang w:eastAsia="en-IE"/>
              </w:rPr>
            </w:pPr>
            <w:r>
              <w:rPr>
                <w:rFonts w:cstheme="minorHAnsi"/>
                <w:sz w:val="24"/>
                <w:szCs w:val="24"/>
                <w:lang w:eastAsia="en-IE"/>
              </w:rPr>
              <w:t>Joe Condon</w:t>
            </w:r>
          </w:p>
        </w:tc>
        <w:tc>
          <w:tcPr>
            <w:tcW w:w="2127" w:type="dxa"/>
            <w:gridSpan w:val="2"/>
            <w:vAlign w:val="bottom"/>
          </w:tcPr>
          <w:p w14:paraId="4E04915F" w14:textId="77777777" w:rsidR="00824D62" w:rsidRPr="006E77F8" w:rsidDel="008F198F" w:rsidRDefault="00824D62" w:rsidP="00824D62">
            <w:pPr>
              <w:rPr>
                <w:rFonts w:cstheme="minorHAnsi"/>
                <w:sz w:val="24"/>
                <w:szCs w:val="24"/>
                <w:lang w:eastAsia="en-IE"/>
              </w:rPr>
            </w:pPr>
            <w:r w:rsidRPr="006E77F8">
              <w:rPr>
                <w:rFonts w:cstheme="minorHAnsi"/>
                <w:sz w:val="24"/>
                <w:szCs w:val="24"/>
                <w:lang w:eastAsia="en-IE"/>
              </w:rPr>
              <w:t>INHFA</w:t>
            </w:r>
          </w:p>
        </w:tc>
      </w:tr>
      <w:tr w:rsidR="00824D62" w:rsidRPr="006E77F8" w14:paraId="0B81C778" w14:textId="77777777" w:rsidTr="007F107A">
        <w:trPr>
          <w:trHeight w:val="315"/>
        </w:trPr>
        <w:tc>
          <w:tcPr>
            <w:tcW w:w="2093" w:type="dxa"/>
            <w:gridSpan w:val="2"/>
            <w:noWrap/>
            <w:tcMar>
              <w:top w:w="0" w:type="dxa"/>
              <w:left w:w="108" w:type="dxa"/>
              <w:bottom w:w="0" w:type="dxa"/>
              <w:right w:w="108" w:type="dxa"/>
            </w:tcMar>
            <w:vAlign w:val="bottom"/>
          </w:tcPr>
          <w:p w14:paraId="49ACDBCC" w14:textId="77777777" w:rsidR="00824D62" w:rsidRPr="006E77F8" w:rsidDel="00AD649B" w:rsidRDefault="00824D62" w:rsidP="00824D62">
            <w:pPr>
              <w:rPr>
                <w:rFonts w:cstheme="minorHAnsi"/>
                <w:sz w:val="24"/>
                <w:szCs w:val="24"/>
                <w:lang w:eastAsia="en-IE"/>
              </w:rPr>
            </w:pPr>
            <w:r w:rsidRPr="006E77F8">
              <w:rPr>
                <w:rFonts w:cstheme="minorHAnsi"/>
                <w:sz w:val="24"/>
                <w:szCs w:val="24"/>
                <w:lang w:eastAsia="en-IE"/>
              </w:rPr>
              <w:t>Cormac Healy</w:t>
            </w:r>
          </w:p>
        </w:tc>
        <w:tc>
          <w:tcPr>
            <w:tcW w:w="2126" w:type="dxa"/>
            <w:gridSpan w:val="2"/>
            <w:noWrap/>
            <w:tcMar>
              <w:top w:w="0" w:type="dxa"/>
              <w:left w:w="108" w:type="dxa"/>
              <w:bottom w:w="0" w:type="dxa"/>
              <w:right w:w="108" w:type="dxa"/>
            </w:tcMar>
            <w:vAlign w:val="bottom"/>
          </w:tcPr>
          <w:p w14:paraId="0778FC73" w14:textId="77777777" w:rsidR="00824D62" w:rsidRPr="006E77F8" w:rsidDel="00AD649B" w:rsidRDefault="00824D62" w:rsidP="00824D62">
            <w:pPr>
              <w:rPr>
                <w:rFonts w:cstheme="minorHAnsi"/>
                <w:sz w:val="24"/>
                <w:szCs w:val="24"/>
                <w:lang w:eastAsia="en-IE"/>
              </w:rPr>
            </w:pPr>
            <w:r w:rsidRPr="006E77F8">
              <w:rPr>
                <w:rFonts w:cstheme="minorHAnsi"/>
                <w:sz w:val="24"/>
                <w:szCs w:val="24"/>
                <w:lang w:eastAsia="en-IE"/>
              </w:rPr>
              <w:t>MII</w:t>
            </w:r>
          </w:p>
        </w:tc>
        <w:tc>
          <w:tcPr>
            <w:tcW w:w="567" w:type="dxa"/>
            <w:vMerge/>
          </w:tcPr>
          <w:p w14:paraId="47798B5D" w14:textId="77777777" w:rsidR="00824D62" w:rsidRPr="006E77F8" w:rsidRDefault="00824D62" w:rsidP="00824D62">
            <w:pPr>
              <w:rPr>
                <w:rFonts w:cstheme="minorHAnsi"/>
                <w:sz w:val="24"/>
                <w:szCs w:val="24"/>
                <w:lang w:eastAsia="en-IE"/>
              </w:rPr>
            </w:pPr>
          </w:p>
        </w:tc>
        <w:tc>
          <w:tcPr>
            <w:tcW w:w="2835" w:type="dxa"/>
            <w:gridSpan w:val="3"/>
            <w:vAlign w:val="bottom"/>
          </w:tcPr>
          <w:p w14:paraId="1CE4427C" w14:textId="77777777" w:rsidR="00824D62" w:rsidRPr="006E77F8" w:rsidDel="008F198F" w:rsidRDefault="00824D62" w:rsidP="00824D62">
            <w:pPr>
              <w:rPr>
                <w:rFonts w:cstheme="minorHAnsi"/>
                <w:sz w:val="24"/>
                <w:szCs w:val="24"/>
                <w:lang w:eastAsia="en-IE"/>
              </w:rPr>
            </w:pPr>
            <w:r w:rsidRPr="006E77F8">
              <w:rPr>
                <w:rFonts w:cstheme="minorHAnsi"/>
                <w:sz w:val="24"/>
                <w:szCs w:val="24"/>
                <w:lang w:eastAsia="en-IE"/>
              </w:rPr>
              <w:t>Dermot O'Brien</w:t>
            </w:r>
          </w:p>
        </w:tc>
        <w:tc>
          <w:tcPr>
            <w:tcW w:w="2127" w:type="dxa"/>
            <w:gridSpan w:val="2"/>
            <w:vAlign w:val="bottom"/>
          </w:tcPr>
          <w:p w14:paraId="7BD73E66" w14:textId="77777777" w:rsidR="00824D62" w:rsidRPr="006E77F8" w:rsidDel="008F198F" w:rsidRDefault="00824D62" w:rsidP="00824D62">
            <w:pPr>
              <w:rPr>
                <w:rFonts w:cstheme="minorHAnsi"/>
                <w:sz w:val="24"/>
                <w:szCs w:val="24"/>
                <w:lang w:eastAsia="en-IE"/>
              </w:rPr>
            </w:pPr>
            <w:r>
              <w:rPr>
                <w:rFonts w:cstheme="minorHAnsi"/>
                <w:sz w:val="24"/>
                <w:szCs w:val="24"/>
                <w:lang w:eastAsia="en-IE"/>
              </w:rPr>
              <w:t xml:space="preserve"> </w:t>
            </w:r>
            <w:r w:rsidRPr="006E77F8">
              <w:rPr>
                <w:rFonts w:cstheme="minorHAnsi"/>
                <w:sz w:val="24"/>
                <w:szCs w:val="24"/>
                <w:lang w:eastAsia="en-IE"/>
              </w:rPr>
              <w:t>BPM</w:t>
            </w:r>
          </w:p>
        </w:tc>
      </w:tr>
      <w:tr w:rsidR="00824D62" w:rsidRPr="006E77F8" w14:paraId="51281888" w14:textId="77777777" w:rsidTr="007F107A">
        <w:trPr>
          <w:gridAfter w:val="1"/>
          <w:wAfter w:w="1276" w:type="dxa"/>
          <w:trHeight w:val="315"/>
        </w:trPr>
        <w:tc>
          <w:tcPr>
            <w:tcW w:w="2093" w:type="dxa"/>
            <w:gridSpan w:val="2"/>
            <w:noWrap/>
            <w:tcMar>
              <w:top w:w="0" w:type="dxa"/>
              <w:left w:w="108" w:type="dxa"/>
              <w:bottom w:w="0" w:type="dxa"/>
              <w:right w:w="108" w:type="dxa"/>
            </w:tcMar>
            <w:vAlign w:val="bottom"/>
          </w:tcPr>
          <w:p w14:paraId="0CCDF62D" w14:textId="77777777" w:rsidR="00824D62" w:rsidRPr="00D717BB" w:rsidDel="00AD649B" w:rsidRDefault="00824D62" w:rsidP="00824D62">
            <w:pPr>
              <w:rPr>
                <w:rFonts w:cstheme="minorHAnsi"/>
                <w:sz w:val="24"/>
                <w:szCs w:val="24"/>
                <w:lang w:eastAsia="en-IE"/>
              </w:rPr>
            </w:pPr>
            <w:r w:rsidRPr="00D717BB">
              <w:rPr>
                <w:rFonts w:cstheme="minorHAnsi"/>
                <w:sz w:val="24"/>
                <w:szCs w:val="24"/>
                <w:lang w:eastAsia="en-IE"/>
              </w:rPr>
              <w:t>Joe Ryan</w:t>
            </w:r>
          </w:p>
        </w:tc>
        <w:tc>
          <w:tcPr>
            <w:tcW w:w="2126" w:type="dxa"/>
            <w:gridSpan w:val="2"/>
            <w:noWrap/>
            <w:tcMar>
              <w:top w:w="0" w:type="dxa"/>
              <w:left w:w="108" w:type="dxa"/>
              <w:bottom w:w="0" w:type="dxa"/>
              <w:right w:w="108" w:type="dxa"/>
            </w:tcMar>
            <w:vAlign w:val="bottom"/>
          </w:tcPr>
          <w:p w14:paraId="5469DCEF" w14:textId="77777777" w:rsidR="00824D62" w:rsidRPr="00D717BB" w:rsidDel="00AD649B" w:rsidRDefault="00824D62" w:rsidP="00824D62">
            <w:pPr>
              <w:rPr>
                <w:rFonts w:cstheme="minorHAnsi"/>
                <w:sz w:val="24"/>
                <w:szCs w:val="24"/>
                <w:lang w:eastAsia="en-IE"/>
              </w:rPr>
            </w:pPr>
            <w:r w:rsidRPr="00D717BB">
              <w:rPr>
                <w:rFonts w:cstheme="minorHAnsi"/>
                <w:sz w:val="24"/>
                <w:szCs w:val="24"/>
                <w:lang w:eastAsia="en-IE"/>
              </w:rPr>
              <w:t>MII</w:t>
            </w:r>
          </w:p>
        </w:tc>
        <w:tc>
          <w:tcPr>
            <w:tcW w:w="567" w:type="dxa"/>
            <w:vMerge/>
          </w:tcPr>
          <w:p w14:paraId="7C4DACB0" w14:textId="77777777" w:rsidR="00824D62" w:rsidRPr="006E77F8" w:rsidRDefault="00824D62" w:rsidP="00824D62">
            <w:pPr>
              <w:rPr>
                <w:rFonts w:cstheme="minorHAnsi"/>
                <w:sz w:val="24"/>
                <w:szCs w:val="24"/>
                <w:lang w:eastAsia="en-IE"/>
              </w:rPr>
            </w:pPr>
          </w:p>
        </w:tc>
        <w:tc>
          <w:tcPr>
            <w:tcW w:w="1559" w:type="dxa"/>
            <w:gridSpan w:val="2"/>
            <w:vAlign w:val="bottom"/>
          </w:tcPr>
          <w:p w14:paraId="4AE6E368" w14:textId="77777777" w:rsidR="00824D62" w:rsidRPr="006E77F8" w:rsidRDefault="00824D62" w:rsidP="00824D62">
            <w:pPr>
              <w:rPr>
                <w:rFonts w:cstheme="minorHAnsi"/>
                <w:sz w:val="24"/>
                <w:szCs w:val="24"/>
                <w:lang w:eastAsia="en-IE"/>
              </w:rPr>
            </w:pPr>
            <w:r>
              <w:rPr>
                <w:rFonts w:cstheme="minorHAnsi"/>
                <w:sz w:val="24"/>
                <w:szCs w:val="24"/>
                <w:lang w:eastAsia="en-IE"/>
              </w:rPr>
              <w:t xml:space="preserve">Enda Fingleton </w:t>
            </w:r>
          </w:p>
        </w:tc>
        <w:tc>
          <w:tcPr>
            <w:tcW w:w="2127" w:type="dxa"/>
            <w:gridSpan w:val="2"/>
            <w:vAlign w:val="bottom"/>
          </w:tcPr>
          <w:p w14:paraId="16AEF635" w14:textId="77777777" w:rsidR="00824D62" w:rsidRPr="006E77F8" w:rsidRDefault="00824D62" w:rsidP="00824D62">
            <w:pPr>
              <w:rPr>
                <w:rFonts w:cstheme="minorHAnsi"/>
                <w:sz w:val="24"/>
                <w:szCs w:val="24"/>
                <w:lang w:eastAsia="en-IE"/>
              </w:rPr>
            </w:pPr>
            <w:r>
              <w:rPr>
                <w:rFonts w:cstheme="minorHAnsi"/>
                <w:sz w:val="24"/>
                <w:szCs w:val="24"/>
                <w:lang w:eastAsia="en-IE"/>
              </w:rPr>
              <w:t xml:space="preserve">                         BPM</w:t>
            </w:r>
          </w:p>
        </w:tc>
      </w:tr>
      <w:tr w:rsidR="00824D62" w:rsidRPr="006E77F8" w14:paraId="72B66931" w14:textId="77777777" w:rsidTr="007F107A">
        <w:trPr>
          <w:trHeight w:val="315"/>
        </w:trPr>
        <w:tc>
          <w:tcPr>
            <w:tcW w:w="2093" w:type="dxa"/>
            <w:gridSpan w:val="2"/>
            <w:noWrap/>
            <w:tcMar>
              <w:top w:w="0" w:type="dxa"/>
              <w:left w:w="108" w:type="dxa"/>
              <w:bottom w:w="0" w:type="dxa"/>
              <w:right w:w="108" w:type="dxa"/>
            </w:tcMar>
            <w:vAlign w:val="bottom"/>
          </w:tcPr>
          <w:p w14:paraId="0A420BFA"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Padraig Brennan</w:t>
            </w:r>
          </w:p>
        </w:tc>
        <w:tc>
          <w:tcPr>
            <w:tcW w:w="2126" w:type="dxa"/>
            <w:gridSpan w:val="2"/>
            <w:noWrap/>
            <w:tcMar>
              <w:top w:w="0" w:type="dxa"/>
              <w:left w:w="108" w:type="dxa"/>
              <w:bottom w:w="0" w:type="dxa"/>
              <w:right w:w="108" w:type="dxa"/>
            </w:tcMar>
            <w:vAlign w:val="bottom"/>
          </w:tcPr>
          <w:p w14:paraId="22D21EE2"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Bord Bia</w:t>
            </w:r>
          </w:p>
        </w:tc>
        <w:tc>
          <w:tcPr>
            <w:tcW w:w="567" w:type="dxa"/>
            <w:vMerge/>
          </w:tcPr>
          <w:p w14:paraId="71F78C41" w14:textId="77777777" w:rsidR="00824D62" w:rsidRPr="006E77F8" w:rsidRDefault="00824D62" w:rsidP="00824D62">
            <w:pPr>
              <w:rPr>
                <w:rFonts w:cstheme="minorHAnsi"/>
                <w:sz w:val="24"/>
                <w:szCs w:val="24"/>
                <w:lang w:eastAsia="en-IE"/>
              </w:rPr>
            </w:pPr>
          </w:p>
        </w:tc>
        <w:tc>
          <w:tcPr>
            <w:tcW w:w="2835" w:type="dxa"/>
            <w:gridSpan w:val="3"/>
            <w:vAlign w:val="bottom"/>
          </w:tcPr>
          <w:p w14:paraId="40CC96BE" w14:textId="77777777" w:rsidR="00824D62" w:rsidRPr="00D717BB" w:rsidRDefault="00824D62" w:rsidP="00824D62">
            <w:pPr>
              <w:rPr>
                <w:rFonts w:cstheme="minorHAnsi"/>
                <w:sz w:val="24"/>
                <w:szCs w:val="24"/>
                <w:lang w:eastAsia="en-IE"/>
              </w:rPr>
            </w:pPr>
            <w:r w:rsidRPr="00D717BB">
              <w:rPr>
                <w:rFonts w:cstheme="minorHAnsi"/>
                <w:sz w:val="24"/>
                <w:szCs w:val="24"/>
                <w:lang w:eastAsia="en-IE"/>
              </w:rPr>
              <w:t>Sean Coughlan</w:t>
            </w:r>
          </w:p>
        </w:tc>
        <w:tc>
          <w:tcPr>
            <w:tcW w:w="2127" w:type="dxa"/>
            <w:gridSpan w:val="2"/>
            <w:vAlign w:val="bottom"/>
          </w:tcPr>
          <w:p w14:paraId="03BFDE0E" w14:textId="77777777" w:rsidR="00824D62" w:rsidRPr="00D717BB" w:rsidRDefault="00824D62" w:rsidP="00824D62">
            <w:pPr>
              <w:rPr>
                <w:rFonts w:cstheme="minorHAnsi"/>
                <w:sz w:val="24"/>
                <w:szCs w:val="24"/>
                <w:lang w:eastAsia="en-IE"/>
              </w:rPr>
            </w:pPr>
            <w:r w:rsidRPr="00D717BB">
              <w:rPr>
                <w:rFonts w:cstheme="minorHAnsi"/>
                <w:sz w:val="24"/>
                <w:szCs w:val="24"/>
                <w:lang w:eastAsia="en-IE"/>
              </w:rPr>
              <w:t xml:space="preserve">  ICBF</w:t>
            </w:r>
          </w:p>
        </w:tc>
      </w:tr>
      <w:tr w:rsidR="00824D62" w:rsidRPr="006E77F8" w14:paraId="4F083C85" w14:textId="77777777" w:rsidTr="007F107A">
        <w:trPr>
          <w:trHeight w:val="315"/>
        </w:trPr>
        <w:tc>
          <w:tcPr>
            <w:tcW w:w="2093" w:type="dxa"/>
            <w:gridSpan w:val="2"/>
            <w:noWrap/>
            <w:tcMar>
              <w:top w:w="0" w:type="dxa"/>
              <w:left w:w="108" w:type="dxa"/>
              <w:bottom w:w="0" w:type="dxa"/>
              <w:right w:w="108" w:type="dxa"/>
            </w:tcMar>
            <w:vAlign w:val="bottom"/>
            <w:hideMark/>
          </w:tcPr>
          <w:p w14:paraId="5AEE8026" w14:textId="77777777" w:rsidR="00824D62" w:rsidRPr="006E77F8" w:rsidRDefault="00824D62" w:rsidP="00824D62">
            <w:pPr>
              <w:rPr>
                <w:rFonts w:cstheme="minorHAnsi"/>
                <w:sz w:val="24"/>
                <w:szCs w:val="24"/>
                <w:lang w:eastAsia="en-IE"/>
              </w:rPr>
            </w:pPr>
            <w:r>
              <w:rPr>
                <w:rFonts w:cstheme="minorHAnsi"/>
                <w:sz w:val="24"/>
                <w:szCs w:val="24"/>
                <w:lang w:eastAsia="en-IE"/>
              </w:rPr>
              <w:t xml:space="preserve">Maria Dunne </w:t>
            </w:r>
          </w:p>
        </w:tc>
        <w:tc>
          <w:tcPr>
            <w:tcW w:w="2126" w:type="dxa"/>
            <w:gridSpan w:val="2"/>
            <w:noWrap/>
            <w:tcMar>
              <w:top w:w="0" w:type="dxa"/>
              <w:left w:w="108" w:type="dxa"/>
              <w:bottom w:w="0" w:type="dxa"/>
              <w:right w:w="108" w:type="dxa"/>
            </w:tcMar>
            <w:vAlign w:val="bottom"/>
            <w:hideMark/>
          </w:tcPr>
          <w:p w14:paraId="0AB71BAF" w14:textId="77777777" w:rsidR="00824D62" w:rsidRPr="006E77F8" w:rsidRDefault="00824D62" w:rsidP="00824D62">
            <w:pPr>
              <w:rPr>
                <w:rFonts w:cstheme="minorHAnsi"/>
                <w:sz w:val="24"/>
                <w:szCs w:val="24"/>
                <w:lang w:eastAsia="en-IE"/>
              </w:rPr>
            </w:pPr>
            <w:r>
              <w:rPr>
                <w:rFonts w:cstheme="minorHAnsi"/>
                <w:sz w:val="24"/>
                <w:szCs w:val="24"/>
                <w:lang w:eastAsia="en-IE"/>
              </w:rPr>
              <w:t>DAFM</w:t>
            </w:r>
          </w:p>
        </w:tc>
        <w:tc>
          <w:tcPr>
            <w:tcW w:w="567" w:type="dxa"/>
            <w:vMerge/>
          </w:tcPr>
          <w:p w14:paraId="2DADAEF0" w14:textId="77777777" w:rsidR="00824D62" w:rsidRPr="006E77F8" w:rsidRDefault="00824D62" w:rsidP="00824D62">
            <w:pPr>
              <w:rPr>
                <w:rFonts w:cstheme="minorHAnsi"/>
                <w:sz w:val="24"/>
                <w:szCs w:val="24"/>
                <w:lang w:eastAsia="en-IE"/>
              </w:rPr>
            </w:pPr>
          </w:p>
        </w:tc>
        <w:tc>
          <w:tcPr>
            <w:tcW w:w="2835" w:type="dxa"/>
            <w:gridSpan w:val="3"/>
            <w:vAlign w:val="bottom"/>
          </w:tcPr>
          <w:p w14:paraId="7B1D0706" w14:textId="317522B7" w:rsidR="00824D62" w:rsidRPr="006E77F8" w:rsidRDefault="00824D62" w:rsidP="00824D62">
            <w:pPr>
              <w:rPr>
                <w:rFonts w:cstheme="minorHAnsi"/>
                <w:sz w:val="24"/>
                <w:szCs w:val="24"/>
                <w:lang w:eastAsia="en-IE"/>
              </w:rPr>
            </w:pPr>
          </w:p>
        </w:tc>
        <w:tc>
          <w:tcPr>
            <w:tcW w:w="2127" w:type="dxa"/>
            <w:gridSpan w:val="2"/>
            <w:vAlign w:val="bottom"/>
          </w:tcPr>
          <w:p w14:paraId="23A36938" w14:textId="09C04DCB" w:rsidR="00824D62" w:rsidRPr="006E77F8" w:rsidRDefault="00824D62" w:rsidP="00824D62">
            <w:pPr>
              <w:rPr>
                <w:rFonts w:cstheme="minorHAnsi"/>
                <w:sz w:val="24"/>
                <w:szCs w:val="24"/>
                <w:lang w:eastAsia="en-IE"/>
              </w:rPr>
            </w:pPr>
          </w:p>
        </w:tc>
      </w:tr>
      <w:tr w:rsidR="00824D62" w:rsidRPr="006E77F8" w14:paraId="1BC96FCC" w14:textId="77777777" w:rsidTr="007F107A">
        <w:tblPrEx>
          <w:jc w:val="center"/>
        </w:tblPrEx>
        <w:trPr>
          <w:gridAfter w:val="4"/>
          <w:wAfter w:w="3658" w:type="dxa"/>
          <w:trHeight w:val="315"/>
          <w:jc w:val="center"/>
        </w:trPr>
        <w:tc>
          <w:tcPr>
            <w:tcW w:w="1838" w:type="dxa"/>
            <w:noWrap/>
            <w:tcMar>
              <w:top w:w="0" w:type="dxa"/>
              <w:left w:w="108" w:type="dxa"/>
              <w:bottom w:w="0" w:type="dxa"/>
              <w:right w:w="108" w:type="dxa"/>
            </w:tcMar>
            <w:vAlign w:val="bottom"/>
            <w:hideMark/>
          </w:tcPr>
          <w:p w14:paraId="0A06967B" w14:textId="77777777" w:rsidR="00824D62" w:rsidRPr="006E77F8" w:rsidRDefault="00824D62" w:rsidP="00824D62">
            <w:pPr>
              <w:rPr>
                <w:rFonts w:cstheme="minorHAnsi"/>
                <w:sz w:val="24"/>
                <w:szCs w:val="24"/>
                <w:lang w:eastAsia="en-IE"/>
              </w:rPr>
            </w:pPr>
          </w:p>
        </w:tc>
        <w:tc>
          <w:tcPr>
            <w:tcW w:w="2126" w:type="dxa"/>
            <w:gridSpan w:val="2"/>
            <w:noWrap/>
            <w:tcMar>
              <w:top w:w="0" w:type="dxa"/>
              <w:left w:w="108" w:type="dxa"/>
              <w:bottom w:w="0" w:type="dxa"/>
              <w:right w:w="108" w:type="dxa"/>
            </w:tcMar>
            <w:vAlign w:val="bottom"/>
            <w:hideMark/>
          </w:tcPr>
          <w:p w14:paraId="39C7B032" w14:textId="77777777" w:rsidR="00824D62" w:rsidRDefault="00824D62" w:rsidP="00824D62">
            <w:pPr>
              <w:rPr>
                <w:rFonts w:cstheme="minorHAnsi"/>
                <w:sz w:val="24"/>
                <w:szCs w:val="24"/>
                <w:lang w:eastAsia="en-IE"/>
              </w:rPr>
            </w:pPr>
          </w:p>
          <w:p w14:paraId="3CBF3AE4"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Valerie Woods</w:t>
            </w:r>
          </w:p>
        </w:tc>
        <w:tc>
          <w:tcPr>
            <w:tcW w:w="2126" w:type="dxa"/>
            <w:gridSpan w:val="3"/>
            <w:vAlign w:val="bottom"/>
          </w:tcPr>
          <w:p w14:paraId="0F4316AC"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DAFM Secretariat</w:t>
            </w:r>
          </w:p>
        </w:tc>
      </w:tr>
      <w:tr w:rsidR="00824D62" w:rsidRPr="006E77F8" w14:paraId="16578551" w14:textId="77777777" w:rsidTr="007F107A">
        <w:tblPrEx>
          <w:jc w:val="center"/>
        </w:tblPrEx>
        <w:trPr>
          <w:gridAfter w:val="4"/>
          <w:wAfter w:w="3658" w:type="dxa"/>
          <w:trHeight w:val="315"/>
          <w:jc w:val="center"/>
        </w:trPr>
        <w:tc>
          <w:tcPr>
            <w:tcW w:w="1838" w:type="dxa"/>
            <w:noWrap/>
            <w:tcMar>
              <w:top w:w="0" w:type="dxa"/>
              <w:left w:w="108" w:type="dxa"/>
              <w:bottom w:w="0" w:type="dxa"/>
              <w:right w:w="108" w:type="dxa"/>
            </w:tcMar>
            <w:vAlign w:val="bottom"/>
            <w:hideMark/>
          </w:tcPr>
          <w:p w14:paraId="19D29823" w14:textId="77777777" w:rsidR="00824D62" w:rsidRPr="006E77F8" w:rsidRDefault="00824D62" w:rsidP="00824D62">
            <w:pPr>
              <w:rPr>
                <w:rFonts w:cstheme="minorHAnsi"/>
                <w:sz w:val="24"/>
                <w:szCs w:val="24"/>
                <w:lang w:eastAsia="en-IE"/>
              </w:rPr>
            </w:pPr>
          </w:p>
        </w:tc>
        <w:tc>
          <w:tcPr>
            <w:tcW w:w="2126" w:type="dxa"/>
            <w:gridSpan w:val="2"/>
            <w:noWrap/>
            <w:tcMar>
              <w:top w:w="0" w:type="dxa"/>
              <w:left w:w="108" w:type="dxa"/>
              <w:bottom w:w="0" w:type="dxa"/>
              <w:right w:w="108" w:type="dxa"/>
            </w:tcMar>
            <w:vAlign w:val="bottom"/>
            <w:hideMark/>
          </w:tcPr>
          <w:p w14:paraId="3F2344F1"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Greg Murray</w:t>
            </w:r>
          </w:p>
        </w:tc>
        <w:tc>
          <w:tcPr>
            <w:tcW w:w="2126" w:type="dxa"/>
            <w:gridSpan w:val="3"/>
            <w:vAlign w:val="bottom"/>
          </w:tcPr>
          <w:p w14:paraId="47189D4E" w14:textId="77777777" w:rsidR="00824D62" w:rsidRPr="006E77F8" w:rsidRDefault="00824D62" w:rsidP="00824D62">
            <w:pPr>
              <w:rPr>
                <w:rFonts w:cstheme="minorHAnsi"/>
                <w:sz w:val="24"/>
                <w:szCs w:val="24"/>
                <w:lang w:eastAsia="en-IE"/>
              </w:rPr>
            </w:pPr>
            <w:r w:rsidRPr="006E77F8">
              <w:rPr>
                <w:rFonts w:cstheme="minorHAnsi"/>
                <w:sz w:val="24"/>
                <w:szCs w:val="24"/>
                <w:lang w:eastAsia="en-IE"/>
              </w:rPr>
              <w:t>DAFM Secretariat</w:t>
            </w:r>
          </w:p>
        </w:tc>
      </w:tr>
    </w:tbl>
    <w:p w14:paraId="2AC4D418" w14:textId="77777777" w:rsidR="00FC1538" w:rsidRDefault="00FC1538" w:rsidP="002B4F21">
      <w:pPr>
        <w:rPr>
          <w:rFonts w:cstheme="minorHAnsi"/>
          <w:sz w:val="24"/>
          <w:szCs w:val="24"/>
          <w:lang w:eastAsia="en-IE"/>
        </w:rPr>
      </w:pPr>
    </w:p>
    <w:p w14:paraId="36A22EF2" w14:textId="0FA17B11" w:rsidR="002B4F21" w:rsidRPr="006E77F8" w:rsidRDefault="002B4F21" w:rsidP="002B4F21">
      <w:pPr>
        <w:rPr>
          <w:rFonts w:cstheme="minorHAnsi"/>
          <w:sz w:val="24"/>
          <w:szCs w:val="24"/>
          <w:lang w:eastAsia="en-IE"/>
        </w:rPr>
      </w:pPr>
      <w:r w:rsidRPr="006E77F8">
        <w:rPr>
          <w:rFonts w:cstheme="minorHAnsi"/>
          <w:sz w:val="24"/>
          <w:szCs w:val="24"/>
          <w:lang w:eastAsia="en-IE"/>
        </w:rPr>
        <w:t xml:space="preserve">Attendance for specific items: Brendan </w:t>
      </w:r>
      <w:r w:rsidR="00824D62">
        <w:rPr>
          <w:rFonts w:cstheme="minorHAnsi"/>
          <w:sz w:val="24"/>
          <w:szCs w:val="24"/>
          <w:lang w:eastAsia="en-IE"/>
        </w:rPr>
        <w:t>Foster</w:t>
      </w:r>
      <w:r w:rsidRPr="006E77F8">
        <w:rPr>
          <w:rFonts w:cstheme="minorHAnsi"/>
          <w:sz w:val="24"/>
          <w:szCs w:val="24"/>
          <w:lang w:eastAsia="en-IE"/>
        </w:rPr>
        <w:t>, Padraig Ryan</w:t>
      </w:r>
      <w:r w:rsidR="00345595">
        <w:rPr>
          <w:rFonts w:cstheme="minorHAnsi"/>
          <w:sz w:val="24"/>
          <w:szCs w:val="24"/>
          <w:lang w:eastAsia="en-IE"/>
        </w:rPr>
        <w:t xml:space="preserve"> </w:t>
      </w:r>
      <w:r w:rsidRPr="006E77F8">
        <w:rPr>
          <w:rFonts w:cstheme="minorHAnsi"/>
          <w:sz w:val="24"/>
          <w:szCs w:val="24"/>
          <w:lang w:eastAsia="en-IE"/>
        </w:rPr>
        <w:t xml:space="preserve">– Grant Thornton </w:t>
      </w:r>
    </w:p>
    <w:p w14:paraId="06EFCE70" w14:textId="77777777" w:rsidR="002B4F21" w:rsidRPr="006E77F8" w:rsidRDefault="002B4F21" w:rsidP="002B4F21">
      <w:pPr>
        <w:rPr>
          <w:rFonts w:cstheme="minorHAnsi"/>
          <w:sz w:val="24"/>
          <w:szCs w:val="24"/>
          <w:lang w:eastAsia="en-IE"/>
        </w:rPr>
      </w:pPr>
      <w:r w:rsidRPr="006E77F8">
        <w:rPr>
          <w:rFonts w:cstheme="minorHAnsi"/>
          <w:sz w:val="24"/>
          <w:szCs w:val="24"/>
          <w:lang w:eastAsia="en-IE"/>
        </w:rPr>
        <w:t xml:space="preserve">Joe Burke - Bord Bia </w:t>
      </w:r>
    </w:p>
    <w:p w14:paraId="20636491" w14:textId="77777777" w:rsidR="00FC1538" w:rsidRDefault="00FC1538" w:rsidP="00B368B7">
      <w:pPr>
        <w:pStyle w:val="Heading1"/>
        <w:rPr>
          <w:rFonts w:asciiTheme="minorHAnsi" w:eastAsiaTheme="minorHAnsi" w:hAnsiTheme="minorHAnsi" w:cstheme="minorHAnsi"/>
          <w:color w:val="auto"/>
          <w:sz w:val="24"/>
          <w:szCs w:val="24"/>
          <w:lang w:eastAsia="en-IE"/>
        </w:rPr>
      </w:pPr>
    </w:p>
    <w:p w14:paraId="00AEA259" w14:textId="77777777" w:rsidR="00FC1538" w:rsidRDefault="00FC1538" w:rsidP="00B368B7">
      <w:pPr>
        <w:pStyle w:val="Heading1"/>
        <w:rPr>
          <w:rFonts w:asciiTheme="minorHAnsi" w:eastAsiaTheme="minorHAnsi" w:hAnsiTheme="minorHAnsi" w:cstheme="minorHAnsi"/>
          <w:color w:val="auto"/>
          <w:sz w:val="24"/>
          <w:szCs w:val="24"/>
          <w:lang w:eastAsia="en-IE"/>
        </w:rPr>
      </w:pPr>
    </w:p>
    <w:p w14:paraId="26A2A2E2" w14:textId="77777777" w:rsidR="00FC1538" w:rsidRDefault="00FC1538">
      <w:pPr>
        <w:rPr>
          <w:rFonts w:cstheme="minorHAnsi"/>
          <w:sz w:val="24"/>
          <w:szCs w:val="24"/>
          <w:lang w:eastAsia="en-IE"/>
        </w:rPr>
      </w:pPr>
      <w:r>
        <w:rPr>
          <w:rFonts w:cstheme="minorHAnsi"/>
          <w:sz w:val="24"/>
          <w:szCs w:val="24"/>
          <w:lang w:eastAsia="en-IE"/>
        </w:rPr>
        <w:br w:type="page"/>
      </w:r>
    </w:p>
    <w:p w14:paraId="38CF4DF8" w14:textId="4696EA2D" w:rsidR="000D35DD" w:rsidRDefault="00C3463C" w:rsidP="00B368B7">
      <w:pPr>
        <w:pStyle w:val="Heading1"/>
        <w:rPr>
          <w:rFonts w:asciiTheme="minorHAnsi" w:eastAsiaTheme="minorHAnsi" w:hAnsiTheme="minorHAnsi" w:cstheme="minorHAnsi"/>
          <w:color w:val="auto"/>
          <w:sz w:val="24"/>
          <w:szCs w:val="24"/>
          <w:lang w:eastAsia="en-IE"/>
        </w:rPr>
      </w:pPr>
      <w:r>
        <w:rPr>
          <w:rFonts w:asciiTheme="minorHAnsi" w:eastAsiaTheme="minorHAnsi" w:hAnsiTheme="minorHAnsi" w:cstheme="minorHAnsi"/>
          <w:color w:val="auto"/>
          <w:sz w:val="24"/>
          <w:szCs w:val="24"/>
          <w:lang w:eastAsia="en-IE"/>
        </w:rPr>
        <w:t>The Chairman made opening remarks and welcomed participants.</w:t>
      </w:r>
    </w:p>
    <w:p w14:paraId="03EEEE2D" w14:textId="77777777" w:rsidR="00C3463C" w:rsidRDefault="00C3463C" w:rsidP="00C3463C">
      <w:pPr>
        <w:rPr>
          <w:lang w:eastAsia="en-IE"/>
        </w:rPr>
      </w:pPr>
      <w:r>
        <w:rPr>
          <w:lang w:eastAsia="en-IE"/>
        </w:rPr>
        <w:t xml:space="preserve"> </w:t>
      </w:r>
    </w:p>
    <w:p w14:paraId="0033E7FA" w14:textId="77777777" w:rsidR="002B4F21" w:rsidRPr="002B4F21" w:rsidRDefault="00C3463C" w:rsidP="00C3463C">
      <w:pPr>
        <w:rPr>
          <w:i/>
        </w:rPr>
      </w:pPr>
      <w:r>
        <w:rPr>
          <w:lang w:eastAsia="en-IE"/>
        </w:rPr>
        <w:t>There was one change agreed to the minutes of the previous meeting on the wording of the section on the suckler brand promotion oversight group.</w:t>
      </w:r>
      <w:r w:rsidR="002B4F21" w:rsidRPr="002B4F21">
        <w:rPr>
          <w:i/>
        </w:rPr>
        <w:t xml:space="preserve"> </w:t>
      </w:r>
    </w:p>
    <w:p w14:paraId="62571B10" w14:textId="77777777" w:rsidR="00A4542A" w:rsidRDefault="00A4542A"/>
    <w:p w14:paraId="7CA8EE2D" w14:textId="5BEADD47" w:rsidR="00FC1538" w:rsidRDefault="00FC1538" w:rsidP="006B02CF">
      <w:pPr>
        <w:rPr>
          <w:b/>
          <w:bCs/>
          <w:u w:val="single"/>
        </w:rPr>
      </w:pPr>
      <w:r>
        <w:rPr>
          <w:b/>
          <w:bCs/>
          <w:u w:val="single"/>
        </w:rPr>
        <w:t>Market Transparency Studies</w:t>
      </w:r>
    </w:p>
    <w:p w14:paraId="61CF4983" w14:textId="50637862" w:rsidR="000D35DD" w:rsidRPr="00936022" w:rsidRDefault="000D35DD" w:rsidP="006B02CF">
      <w:r w:rsidRPr="00936022">
        <w:t xml:space="preserve">Grant Thornton </w:t>
      </w:r>
      <w:r w:rsidR="00C3463C" w:rsidRPr="00936022">
        <w:t>made a p</w:t>
      </w:r>
      <w:r w:rsidRPr="00936022">
        <w:t>resentation</w:t>
      </w:r>
      <w:r w:rsidR="00C3463C" w:rsidRPr="00936022">
        <w:t xml:space="preserve"> on the market transparency reports</w:t>
      </w:r>
      <w:r w:rsidR="006B02CF" w:rsidRPr="00936022">
        <w:t>:</w:t>
      </w:r>
    </w:p>
    <w:p w14:paraId="68440CDD" w14:textId="082C9F3E" w:rsidR="00A4542A" w:rsidRDefault="00A4542A" w:rsidP="00A4542A">
      <w:r w:rsidRPr="00A4542A">
        <w:rPr>
          <w:u w:val="single"/>
        </w:rPr>
        <w:t xml:space="preserve">First </w:t>
      </w:r>
      <w:r w:rsidR="00E35649" w:rsidRPr="00A4542A">
        <w:rPr>
          <w:u w:val="single"/>
        </w:rPr>
        <w:t>report</w:t>
      </w:r>
      <w:r w:rsidR="00E35649">
        <w:rPr>
          <w:u w:val="single"/>
        </w:rPr>
        <w:t>:</w:t>
      </w:r>
      <w:r>
        <w:t xml:space="preserve"> a </w:t>
      </w:r>
      <w:r w:rsidRPr="00A4542A">
        <w:rPr>
          <w:i/>
        </w:rPr>
        <w:t>literature review of competition law as it relates to the sector</w:t>
      </w:r>
      <w:r>
        <w:t xml:space="preserve">, draft report issued in advance of the September taskforce meeting. </w:t>
      </w:r>
      <w:r w:rsidR="00FC1538">
        <w:t>This report is now finalised and will be published on the DAFM website.</w:t>
      </w:r>
    </w:p>
    <w:p w14:paraId="25A9BBEB" w14:textId="4DF9E4BA" w:rsidR="00293A07" w:rsidRPr="00293A07" w:rsidRDefault="00753B32" w:rsidP="00FC1538">
      <w:pPr>
        <w:rPr>
          <w:b/>
        </w:rPr>
      </w:pPr>
      <w:r w:rsidRPr="00A4542A">
        <w:rPr>
          <w:u w:val="single"/>
        </w:rPr>
        <w:t>Second</w:t>
      </w:r>
      <w:r>
        <w:rPr>
          <w:u w:val="single"/>
        </w:rPr>
        <w:t xml:space="preserve"> </w:t>
      </w:r>
      <w:r w:rsidRPr="00A4542A">
        <w:rPr>
          <w:u w:val="single"/>
        </w:rPr>
        <w:t>report</w:t>
      </w:r>
      <w:r w:rsidRPr="00F61591">
        <w:t xml:space="preserve"> </w:t>
      </w:r>
      <w:r>
        <w:t>focuses</w:t>
      </w:r>
      <w:r w:rsidR="00A4542A" w:rsidRPr="00F61591">
        <w:t xml:space="preserve"> on the </w:t>
      </w:r>
      <w:r w:rsidR="00A4542A" w:rsidRPr="00A4542A">
        <w:rPr>
          <w:i/>
        </w:rPr>
        <w:t>current in-</w:t>
      </w:r>
      <w:r w:rsidRPr="00A4542A">
        <w:rPr>
          <w:i/>
        </w:rPr>
        <w:t xml:space="preserve">spec </w:t>
      </w:r>
      <w:r>
        <w:rPr>
          <w:i/>
        </w:rPr>
        <w:t>bonus</w:t>
      </w:r>
      <w:r w:rsidR="00A4542A" w:rsidRPr="00A4542A">
        <w:rPr>
          <w:i/>
        </w:rPr>
        <w:t xml:space="preserve"> criteria and key customer and third country requirements</w:t>
      </w:r>
      <w:r w:rsidR="00FC1538">
        <w:rPr>
          <w:iCs/>
        </w:rPr>
        <w:t xml:space="preserve">. The </w:t>
      </w:r>
      <w:r w:rsidR="00293A07">
        <w:t xml:space="preserve">report </w:t>
      </w:r>
      <w:r w:rsidR="00293A07" w:rsidRPr="001059D7">
        <w:t>identified market demand for the in-spec bonus criteria. None of the customers consulted identified any additional requirements to be placed on the animal above and beyond the current in-spec bonus criteria</w:t>
      </w:r>
      <w:r w:rsidR="00293A07">
        <w:t xml:space="preserve"> – however it was noted that there would likely be changes to the current market requirements in the future</w:t>
      </w:r>
      <w:r w:rsidR="00293A07" w:rsidRPr="001059D7">
        <w:t>. There is significant variance in demand for the in-spec bonus criteria across the customers engaged with, however, based on consultations there is demand for all the criteria within the market.</w:t>
      </w:r>
      <w:r w:rsidR="00293A07">
        <w:t xml:space="preserve"> </w:t>
      </w:r>
    </w:p>
    <w:p w14:paraId="7ED7E92C" w14:textId="77777777" w:rsidR="00293A07" w:rsidRPr="00293A07" w:rsidRDefault="00293A07" w:rsidP="00293A07">
      <w:pPr>
        <w:rPr>
          <w:u w:val="thick"/>
          <w:lang w:val="en-US"/>
        </w:rPr>
      </w:pPr>
      <w:r w:rsidRPr="00293A07">
        <w:rPr>
          <w:u w:val="thick"/>
          <w:lang w:val="en-US"/>
        </w:rPr>
        <w:t>Third Report:</w:t>
      </w:r>
    </w:p>
    <w:p w14:paraId="0AAFAC59" w14:textId="09AF6E14" w:rsidR="008C4398" w:rsidRPr="00CB5C77" w:rsidRDefault="00C167D3" w:rsidP="00CB5C77">
      <w:pPr>
        <w:spacing w:line="240" w:lineRule="auto"/>
        <w:rPr>
          <w:iCs/>
        </w:rPr>
      </w:pPr>
      <w:r w:rsidRPr="00CB5C77">
        <w:rPr>
          <w:iCs/>
        </w:rPr>
        <w:t xml:space="preserve">To </w:t>
      </w:r>
      <w:r w:rsidR="00293A07" w:rsidRPr="00CB5C77">
        <w:rPr>
          <w:iCs/>
        </w:rPr>
        <w:t>outline the distribution of price composition at key points along the supply chain</w:t>
      </w:r>
      <w:r w:rsidR="00CB5C77">
        <w:rPr>
          <w:iCs/>
        </w:rPr>
        <w:t xml:space="preserve">. </w:t>
      </w:r>
      <w:r w:rsidR="00FC1538" w:rsidRPr="00CB5C77">
        <w:rPr>
          <w:iCs/>
        </w:rPr>
        <w:t>Data collection is currently being finalised and a draft report will issue</w:t>
      </w:r>
      <w:r w:rsidR="00CB5C77">
        <w:rPr>
          <w:iCs/>
        </w:rPr>
        <w:t xml:space="preserve"> in advance of the next meeting of the BTF. </w:t>
      </w:r>
    </w:p>
    <w:p w14:paraId="10738EE1" w14:textId="77777777" w:rsidR="0034334C" w:rsidRDefault="0034334C" w:rsidP="008C4398"/>
    <w:p w14:paraId="3C3CF839" w14:textId="783EB008" w:rsidR="0034334C" w:rsidRDefault="00CB5C77" w:rsidP="008C4398">
      <w:pPr>
        <w:rPr>
          <w:b/>
          <w:bCs/>
        </w:rPr>
      </w:pPr>
      <w:r>
        <w:rPr>
          <w:b/>
          <w:bCs/>
        </w:rPr>
        <w:t>Main points of discussion</w:t>
      </w:r>
      <w:r w:rsidR="0034334C" w:rsidRPr="0034334C">
        <w:rPr>
          <w:b/>
          <w:bCs/>
        </w:rPr>
        <w:t>:</w:t>
      </w:r>
    </w:p>
    <w:p w14:paraId="0A0B7C2D" w14:textId="45BD3207" w:rsidR="005D53C9" w:rsidRDefault="00936022" w:rsidP="005D53C9">
      <w:pPr>
        <w:pStyle w:val="ListParagraph"/>
        <w:numPr>
          <w:ilvl w:val="0"/>
          <w:numId w:val="33"/>
        </w:numPr>
      </w:pPr>
      <w:r>
        <w:t>C</w:t>
      </w:r>
      <w:r w:rsidR="005D53C9" w:rsidRPr="005D53C9">
        <w:t xml:space="preserve">larity </w:t>
      </w:r>
      <w:r w:rsidR="00E11E6F">
        <w:t xml:space="preserve">sought </w:t>
      </w:r>
      <w:r w:rsidR="005D53C9" w:rsidRPr="005D53C9">
        <w:t>in relation to residencies and movements</w:t>
      </w:r>
      <w:r>
        <w:t xml:space="preserve">.  GT clarified that for the purposes of the report, the criteria of residencies was examined rather than movements. </w:t>
      </w:r>
    </w:p>
    <w:p w14:paraId="75A7792D" w14:textId="4A514AAA" w:rsidR="005D53C9" w:rsidRDefault="00CB5C77" w:rsidP="00CB5C77">
      <w:pPr>
        <w:pStyle w:val="ListParagraph"/>
        <w:numPr>
          <w:ilvl w:val="0"/>
          <w:numId w:val="33"/>
        </w:numPr>
      </w:pPr>
      <w:r>
        <w:t>GT had outlined at the beginning of their presentation the rationale for the level of detail presented in the context of commercial sensitivity, however, additional detail on data collection and analysis for report 2 was requested by some BTF members.</w:t>
      </w:r>
      <w:r w:rsidR="00711CF1">
        <w:t xml:space="preserve">  MII clarified that </w:t>
      </w:r>
    </w:p>
    <w:p w14:paraId="45D29C93" w14:textId="73FA9128" w:rsidR="00C8323C" w:rsidRDefault="00C8323C" w:rsidP="00C8323C">
      <w:pPr>
        <w:pStyle w:val="ListParagraph"/>
        <w:numPr>
          <w:ilvl w:val="0"/>
          <w:numId w:val="33"/>
        </w:numPr>
      </w:pPr>
      <w:r>
        <w:t>It was noted that solid references to data and sources of data would strengthen report.</w:t>
      </w:r>
    </w:p>
    <w:p w14:paraId="34E0A158" w14:textId="46885A8D" w:rsidR="005D53C9" w:rsidRDefault="00CB5C77" w:rsidP="005D53C9">
      <w:pPr>
        <w:pStyle w:val="ListParagraph"/>
        <w:numPr>
          <w:ilvl w:val="0"/>
          <w:numId w:val="33"/>
        </w:numPr>
      </w:pPr>
      <w:r>
        <w:t>There was a c</w:t>
      </w:r>
      <w:r w:rsidR="00E11E6F">
        <w:t xml:space="preserve">all for </w:t>
      </w:r>
      <w:r>
        <w:t xml:space="preserve">the </w:t>
      </w:r>
      <w:r w:rsidR="00E11E6F">
        <w:t xml:space="preserve">Food </w:t>
      </w:r>
      <w:r w:rsidR="005D53C9">
        <w:t>Ombudsman announced in in P</w:t>
      </w:r>
      <w:r w:rsidR="00E11E6F">
        <w:t>rogramme for Government</w:t>
      </w:r>
      <w:r w:rsidR="005D53C9">
        <w:t xml:space="preserve"> </w:t>
      </w:r>
      <w:r w:rsidR="00E11E6F">
        <w:t>to be put in place as soon as possible as</w:t>
      </w:r>
      <w:r w:rsidR="005D53C9">
        <w:t xml:space="preserve"> supply chain examination </w:t>
      </w:r>
      <w:r w:rsidR="00E11E6F">
        <w:t xml:space="preserve">is </w:t>
      </w:r>
      <w:r w:rsidR="005D53C9">
        <w:t xml:space="preserve">essential. </w:t>
      </w:r>
      <w:r w:rsidR="00936022">
        <w:t xml:space="preserve">It was noted that this is an action under the programme for Government. </w:t>
      </w:r>
    </w:p>
    <w:p w14:paraId="13585C44" w14:textId="308664A2" w:rsidR="00CB5C77" w:rsidRDefault="00CB5C77" w:rsidP="00C97202">
      <w:pPr>
        <w:pStyle w:val="ListParagraph"/>
        <w:numPr>
          <w:ilvl w:val="0"/>
          <w:numId w:val="33"/>
        </w:numPr>
      </w:pPr>
      <w:r>
        <w:t>The issue of the inclusion of consumer requirements for the criteria was raised, however, this is not within the scope of the studies as agreed by the BTF in 2019.</w:t>
      </w:r>
    </w:p>
    <w:p w14:paraId="73023846" w14:textId="6B16413C" w:rsidR="00B22DB4" w:rsidRDefault="00C8323C" w:rsidP="005D53C9">
      <w:pPr>
        <w:pStyle w:val="ListParagraph"/>
        <w:numPr>
          <w:ilvl w:val="0"/>
          <w:numId w:val="33"/>
        </w:numPr>
      </w:pPr>
      <w:r>
        <w:t>It was clarified that reference to e</w:t>
      </w:r>
      <w:r w:rsidR="00B22DB4">
        <w:t xml:space="preserve">nvironmental benefits </w:t>
      </w:r>
      <w:r>
        <w:t>of</w:t>
      </w:r>
      <w:r w:rsidR="00B22DB4">
        <w:t xml:space="preserve"> under 30 months </w:t>
      </w:r>
      <w:r>
        <w:t>systems were mentioned by stakeholders in consultation and the reports do not make any claims on the impact of criteria, the report lays out the market requirement and rationale of customers for the requirement as outlined in the scope of the study.</w:t>
      </w:r>
    </w:p>
    <w:p w14:paraId="3735BB7C" w14:textId="33498D40" w:rsidR="00B22DB4" w:rsidRDefault="00711CF1" w:rsidP="005D53C9">
      <w:pPr>
        <w:pStyle w:val="ListParagraph"/>
        <w:numPr>
          <w:ilvl w:val="0"/>
          <w:numId w:val="33"/>
        </w:numPr>
      </w:pPr>
      <w:r>
        <w:t xml:space="preserve">There was discussion on potential confusion between the </w:t>
      </w:r>
      <w:r w:rsidR="00BD7A31">
        <w:t>36-month</w:t>
      </w:r>
      <w:r>
        <w:t xml:space="preserve"> requirement under the Grass Fed standard and the </w:t>
      </w:r>
      <w:r w:rsidR="00E35649">
        <w:t>30-month</w:t>
      </w:r>
      <w:r>
        <w:t xml:space="preserve"> customer requirement.  It was clarified that these are distinct requirements and the emphasis on the Grass fed standard is the level of grass input.</w:t>
      </w:r>
    </w:p>
    <w:p w14:paraId="3E9460B3" w14:textId="5D5832B5" w:rsidR="00711CF1" w:rsidRDefault="00711CF1" w:rsidP="005D53C9">
      <w:pPr>
        <w:pStyle w:val="ListParagraph"/>
        <w:numPr>
          <w:ilvl w:val="0"/>
          <w:numId w:val="33"/>
        </w:numPr>
      </w:pPr>
      <w:r>
        <w:t>The importance of maintaining competitiveness</w:t>
      </w:r>
      <w:r w:rsidR="00C104C5">
        <w:t xml:space="preserve"> and the possibility of increasing market demands</w:t>
      </w:r>
      <w:r w:rsidR="00936022">
        <w:t xml:space="preserve"> in the future was discussed, this is particularly important in the context of Brexit and other trade deals as well as changing consumer tastes.</w:t>
      </w:r>
    </w:p>
    <w:p w14:paraId="43E9CAF7" w14:textId="58030963" w:rsidR="00936022" w:rsidRPr="005D53C9" w:rsidRDefault="00936022" w:rsidP="005D53C9">
      <w:pPr>
        <w:pStyle w:val="ListParagraph"/>
        <w:numPr>
          <w:ilvl w:val="0"/>
          <w:numId w:val="33"/>
        </w:numPr>
      </w:pPr>
      <w:r>
        <w:t>It was also noted that many of these requirements, particularly the under 30 months requirement, are prerequisites to gaining market access to some key 3</w:t>
      </w:r>
      <w:r w:rsidRPr="00936022">
        <w:rPr>
          <w:vertAlign w:val="superscript"/>
        </w:rPr>
        <w:t>rd</w:t>
      </w:r>
      <w:r>
        <w:t xml:space="preserve"> countries. </w:t>
      </w:r>
    </w:p>
    <w:p w14:paraId="28552BFA" w14:textId="77777777" w:rsidR="0034334C" w:rsidRDefault="0034334C" w:rsidP="0034334C">
      <w:pPr>
        <w:pStyle w:val="ListParagraph"/>
        <w:numPr>
          <w:ilvl w:val="0"/>
          <w:numId w:val="32"/>
        </w:numPr>
      </w:pPr>
      <w:r>
        <w:t xml:space="preserve">The report highlights that consumers tastes are changing and how it is changing and consequently how this will impact demand for beef. </w:t>
      </w:r>
    </w:p>
    <w:p w14:paraId="6684EC23" w14:textId="77777777" w:rsidR="0034334C" w:rsidRDefault="0034334C" w:rsidP="0034334C">
      <w:pPr>
        <w:pStyle w:val="ListParagraph"/>
        <w:numPr>
          <w:ilvl w:val="0"/>
          <w:numId w:val="32"/>
        </w:numPr>
      </w:pPr>
      <w:r>
        <w:t xml:space="preserve">Wining markets a tough battle and they are easily lost e.g. Chinese market where we are locked out for 6 months. </w:t>
      </w:r>
    </w:p>
    <w:p w14:paraId="192DF090" w14:textId="77777777" w:rsidR="00E35649" w:rsidRPr="00E35649" w:rsidRDefault="00936022" w:rsidP="00E35649">
      <w:pPr>
        <w:pStyle w:val="ListParagraph"/>
        <w:numPr>
          <w:ilvl w:val="0"/>
          <w:numId w:val="32"/>
        </w:numPr>
        <w:rPr>
          <w:b/>
          <w:bCs/>
        </w:rPr>
      </w:pPr>
      <w:r>
        <w:t>It was noted that c</w:t>
      </w:r>
      <w:r w:rsidR="0034334C">
        <w:t xml:space="preserve">onsumption levels in Europe </w:t>
      </w:r>
      <w:r>
        <w:t xml:space="preserve">are </w:t>
      </w:r>
      <w:r w:rsidR="0034334C">
        <w:t>in decline</w:t>
      </w:r>
      <w:r>
        <w:t xml:space="preserve"> and that the highly resourced Vegan lobby is on the rise. </w:t>
      </w:r>
      <w:r w:rsidR="00E35649">
        <w:t xml:space="preserve"> </w:t>
      </w:r>
    </w:p>
    <w:p w14:paraId="2FA1B785" w14:textId="4D211751" w:rsidR="00E35649" w:rsidRPr="00824D62" w:rsidRDefault="00E35649" w:rsidP="00E35649">
      <w:pPr>
        <w:pStyle w:val="ListParagraph"/>
        <w:numPr>
          <w:ilvl w:val="0"/>
          <w:numId w:val="32"/>
        </w:numPr>
      </w:pPr>
      <w:r w:rsidRPr="00824D62">
        <w:rPr>
          <w:rFonts w:eastAsia="Times New Roman"/>
          <w:lang w:val="en-GB"/>
        </w:rPr>
        <w:t xml:space="preserve">It was pointed out that most customers may only purchase one or two cuts from the carcase, but will have a specification requirement, which means that the animal must meet that specification. This therefore increases the number of animals necessary to meet a particular customer order. </w:t>
      </w:r>
    </w:p>
    <w:p w14:paraId="3170402E" w14:textId="2DCFE412" w:rsidR="00E35649" w:rsidRPr="00824D62" w:rsidRDefault="00E35649" w:rsidP="00E35649">
      <w:pPr>
        <w:pStyle w:val="ListParagraph"/>
        <w:numPr>
          <w:ilvl w:val="0"/>
          <w:numId w:val="32"/>
        </w:numPr>
      </w:pPr>
      <w:r w:rsidRPr="00824D62">
        <w:rPr>
          <w:rFonts w:eastAsia="Times New Roman"/>
          <w:lang w:val="en-GB"/>
        </w:rPr>
        <w:t>It was also clarified that cut/portion size is extremely important in the marketplace and hence the relevance of carcase weight in meeting marketplace requirements</w:t>
      </w:r>
      <w:r w:rsidR="00824D62">
        <w:rPr>
          <w:rFonts w:eastAsia="Times New Roman"/>
          <w:lang w:val="en-GB"/>
        </w:rPr>
        <w:t>.</w:t>
      </w:r>
    </w:p>
    <w:p w14:paraId="70125BE5" w14:textId="33932DE7" w:rsidR="00C97202" w:rsidRDefault="00936022" w:rsidP="00806FB1">
      <w:pPr>
        <w:pStyle w:val="ListParagraph"/>
        <w:numPr>
          <w:ilvl w:val="0"/>
          <w:numId w:val="32"/>
        </w:numPr>
      </w:pPr>
      <w:r>
        <w:t xml:space="preserve">The chair requested </w:t>
      </w:r>
      <w:r w:rsidR="00806FB1">
        <w:t>w</w:t>
      </w:r>
      <w:r w:rsidR="00C97202">
        <w:t>ritten obs</w:t>
      </w:r>
      <w:r w:rsidR="00B22DB4">
        <w:t>ervations</w:t>
      </w:r>
      <w:r>
        <w:t xml:space="preserve"> on the report</w:t>
      </w:r>
      <w:r w:rsidR="00C97202">
        <w:t xml:space="preserve"> to</w:t>
      </w:r>
      <w:r>
        <w:t xml:space="preserve"> be submitted to the</w:t>
      </w:r>
      <w:r w:rsidR="00C97202">
        <w:t xml:space="preserve"> secretariat by 8</w:t>
      </w:r>
      <w:r w:rsidR="00C97202" w:rsidRPr="00806FB1">
        <w:rPr>
          <w:vertAlign w:val="superscript"/>
        </w:rPr>
        <w:t>th</w:t>
      </w:r>
      <w:r w:rsidR="00C97202">
        <w:t xml:space="preserve"> of </w:t>
      </w:r>
      <w:r w:rsidR="00B22DB4">
        <w:t>J</w:t>
      </w:r>
      <w:r w:rsidR="00C97202">
        <w:t xml:space="preserve">an </w:t>
      </w:r>
      <w:r w:rsidR="00947468">
        <w:t>with a view to producing a</w:t>
      </w:r>
      <w:r w:rsidR="00B22DB4">
        <w:t xml:space="preserve"> </w:t>
      </w:r>
      <w:r w:rsidR="00947468">
        <w:t>f</w:t>
      </w:r>
      <w:r w:rsidR="00C97202">
        <w:t xml:space="preserve">inalised report </w:t>
      </w:r>
      <w:r w:rsidR="00947468">
        <w:t>for</w:t>
      </w:r>
      <w:r w:rsidR="00C97202">
        <w:t xml:space="preserve"> next meeting early in New Year.</w:t>
      </w:r>
    </w:p>
    <w:p w14:paraId="0B5C6558" w14:textId="77777777" w:rsidR="00B22DB4" w:rsidRDefault="00B22DB4" w:rsidP="00B22DB4"/>
    <w:p w14:paraId="19F1ED1B" w14:textId="4FDB236E" w:rsidR="00947468" w:rsidRDefault="00430997" w:rsidP="0034334C">
      <w:pPr>
        <w:rPr>
          <w:b/>
          <w:bCs/>
          <w:u w:val="single"/>
        </w:rPr>
      </w:pPr>
      <w:r w:rsidRPr="00430997">
        <w:rPr>
          <w:b/>
          <w:bCs/>
          <w:u w:val="single"/>
        </w:rPr>
        <w:t xml:space="preserve">Bord Bia market update </w:t>
      </w:r>
    </w:p>
    <w:p w14:paraId="7DE5181A" w14:textId="1BB98EA3" w:rsidR="00651225" w:rsidRPr="00947468" w:rsidRDefault="00947468" w:rsidP="00947468">
      <w:r w:rsidRPr="00947468">
        <w:t>Bord Bia provided a market update (see presentation) outlining the situation in relation to imports and exports, national production and prices, live exports and consumption trends.</w:t>
      </w:r>
    </w:p>
    <w:p w14:paraId="58DA9C26" w14:textId="1BA5B399" w:rsidR="00651225" w:rsidRPr="00845386" w:rsidRDefault="00947468" w:rsidP="00651225">
      <w:pPr>
        <w:rPr>
          <w:b/>
          <w:bCs/>
          <w:u w:val="single"/>
        </w:rPr>
      </w:pPr>
      <w:r>
        <w:rPr>
          <w:b/>
          <w:bCs/>
          <w:u w:val="single"/>
        </w:rPr>
        <w:t>Discussion on the market update</w:t>
      </w:r>
    </w:p>
    <w:p w14:paraId="55A53DA3" w14:textId="1A025B15" w:rsidR="00651225" w:rsidRDefault="00947468" w:rsidP="00C82347">
      <w:pPr>
        <w:pStyle w:val="ListParagraph"/>
        <w:numPr>
          <w:ilvl w:val="0"/>
          <w:numId w:val="41"/>
        </w:numPr>
      </w:pPr>
      <w:r>
        <w:t>Farm organisations queried what has been done to gain entry to other markets i</w:t>
      </w:r>
      <w:r w:rsidR="00F17049">
        <w:t xml:space="preserve">n </w:t>
      </w:r>
      <w:r>
        <w:t xml:space="preserve">the </w:t>
      </w:r>
      <w:r w:rsidR="00F17049">
        <w:t>event of no deal Brexi</w:t>
      </w:r>
      <w:r>
        <w:t>t.  It was clarified that there has been a drive to expand international markets since the Brexit vote, however this will not compensate for price losses in the event of a no-deal scenario.</w:t>
      </w:r>
      <w:r w:rsidR="00C82347">
        <w:t xml:space="preserve">  It was noted that competent authorities reluctant to engage virtually even though Bord Bia have facilitated virtual trade missions</w:t>
      </w:r>
    </w:p>
    <w:p w14:paraId="3F3A7C44" w14:textId="676CE51B" w:rsidR="00BF6D35" w:rsidRDefault="00947468" w:rsidP="00947468">
      <w:pPr>
        <w:pStyle w:val="ListParagraph"/>
        <w:numPr>
          <w:ilvl w:val="0"/>
          <w:numId w:val="41"/>
        </w:numPr>
      </w:pPr>
      <w:r>
        <w:t xml:space="preserve">The issue of market access to China was discussed, it was agreed that regaining this market is a priority and that other Asian markets like the </w:t>
      </w:r>
      <w:r w:rsidR="00C82347">
        <w:t>Philippines</w:t>
      </w:r>
      <w:r>
        <w:t xml:space="preserve"> will also be key.  DAFM assured the Taskforce that all possible political and diplomatic efforts were being made in this regard. </w:t>
      </w:r>
    </w:p>
    <w:p w14:paraId="579E2AA7" w14:textId="12D95367" w:rsidR="00C82347" w:rsidRDefault="00C82347" w:rsidP="00947468">
      <w:pPr>
        <w:pStyle w:val="ListParagraph"/>
        <w:numPr>
          <w:ilvl w:val="0"/>
          <w:numId w:val="41"/>
        </w:numPr>
      </w:pPr>
      <w:r>
        <w:t>DAFM noted in response to a call for increased resourcing of the DAFM market access team, that all active files are with the relevant 3</w:t>
      </w:r>
      <w:r w:rsidRPr="00C82347">
        <w:rPr>
          <w:vertAlign w:val="superscript"/>
        </w:rPr>
        <w:t>rd</w:t>
      </w:r>
      <w:r>
        <w:t xml:space="preserve"> country competent authorities and additional resourcing within DAFM will not impact on the turnaround time.</w:t>
      </w:r>
    </w:p>
    <w:p w14:paraId="41BE25AE" w14:textId="4D764227" w:rsidR="00BF6D35" w:rsidRDefault="00947468" w:rsidP="00C82347">
      <w:pPr>
        <w:pStyle w:val="ListParagraph"/>
        <w:numPr>
          <w:ilvl w:val="0"/>
          <w:numId w:val="41"/>
        </w:numPr>
      </w:pPr>
      <w:r>
        <w:t xml:space="preserve">The issue of who bears the brunt of </w:t>
      </w:r>
      <w:r w:rsidR="00C82347">
        <w:t>tariffs</w:t>
      </w:r>
      <w:r>
        <w:t xml:space="preserve"> </w:t>
      </w:r>
      <w:r w:rsidR="00C82347">
        <w:t xml:space="preserve">(potentially up to 70% tariff on beef would be applicable) </w:t>
      </w:r>
      <w:r w:rsidR="00BF6D35">
        <w:t xml:space="preserve">post Brexit, </w:t>
      </w:r>
      <w:r>
        <w:t>was discussed.</w:t>
      </w:r>
      <w:r w:rsidR="00C82347">
        <w:t xml:space="preserve">  It was clarified that </w:t>
      </w:r>
      <w:r w:rsidR="00824D62">
        <w:t>t</w:t>
      </w:r>
      <w:r w:rsidR="00C82347">
        <w:t>echnically the importer pays the tariff. To what extent they will pass this back to the exporter or forward to the customer is unknown.</w:t>
      </w:r>
    </w:p>
    <w:p w14:paraId="36B84A0C" w14:textId="1CF49BC3" w:rsidR="00BF6D35" w:rsidRDefault="00C82347" w:rsidP="00C63A90">
      <w:pPr>
        <w:pStyle w:val="ListParagraph"/>
        <w:numPr>
          <w:ilvl w:val="0"/>
          <w:numId w:val="41"/>
        </w:numPr>
      </w:pPr>
      <w:r>
        <w:t xml:space="preserve">It was suggested that in line with the </w:t>
      </w:r>
      <w:r w:rsidR="00BF6D35">
        <w:t xml:space="preserve">Green </w:t>
      </w:r>
      <w:r>
        <w:t>agenda that the</w:t>
      </w:r>
      <w:r w:rsidR="00BF6D35">
        <w:t xml:space="preserve"> EU should introduce an embargo on South American </w:t>
      </w:r>
      <w:r>
        <w:t>beef.  It was clarified that all beef coming into the EU is required to reach the noted production standards.</w:t>
      </w:r>
    </w:p>
    <w:p w14:paraId="56FD6CEC" w14:textId="08DD764D" w:rsidR="00BF6D35" w:rsidRDefault="00C82347" w:rsidP="00BF6D35">
      <w:pPr>
        <w:pStyle w:val="ListParagraph"/>
        <w:numPr>
          <w:ilvl w:val="0"/>
          <w:numId w:val="41"/>
        </w:numPr>
      </w:pPr>
      <w:r>
        <w:t>The quantity of Irish beef in UK cold stores was queried.</w:t>
      </w:r>
      <w:r w:rsidR="00A123A5">
        <w:t xml:space="preserve">  Figures weren’t available, but MII confirmed that it was not a significant amount. </w:t>
      </w:r>
    </w:p>
    <w:p w14:paraId="0AA98B95" w14:textId="4B3B1B5B" w:rsidR="00A123A5" w:rsidRDefault="00A123A5" w:rsidP="00BF6D35">
      <w:pPr>
        <w:pStyle w:val="ListParagraph"/>
        <w:numPr>
          <w:ilvl w:val="0"/>
          <w:numId w:val="41"/>
        </w:numPr>
      </w:pPr>
      <w:r>
        <w:t xml:space="preserve">It was noted that regardless of whether there was a deal, </w:t>
      </w:r>
      <w:r w:rsidR="00BD7A31">
        <w:t>non-tariff</w:t>
      </w:r>
      <w:r>
        <w:t xml:space="preserve"> barriers due to increased logistical and administrative burden as well as the cost of longer transport times will impact on trade. </w:t>
      </w:r>
    </w:p>
    <w:p w14:paraId="3BEF43D4" w14:textId="77777777" w:rsidR="00806FB1" w:rsidRDefault="00806FB1" w:rsidP="00806FB1">
      <w:pPr>
        <w:pStyle w:val="ListParagraph"/>
        <w:numPr>
          <w:ilvl w:val="0"/>
          <w:numId w:val="41"/>
        </w:numPr>
      </w:pPr>
      <w:r>
        <w:t xml:space="preserve">There was discussion on the appropriate channel for communicating allegations of potential breaches of competition law in relation to alleged market manipulation.   It was clarified that allegations, with appropriate evidence, should be made directly to the CCPC.  </w:t>
      </w:r>
    </w:p>
    <w:p w14:paraId="35954E72" w14:textId="77777777" w:rsidR="00806FB1" w:rsidRDefault="00806FB1" w:rsidP="00806FB1">
      <w:pPr>
        <w:pStyle w:val="ListParagraph"/>
      </w:pPr>
    </w:p>
    <w:p w14:paraId="110FB2CB" w14:textId="77777777" w:rsidR="00BF6D35" w:rsidRDefault="00BF6D35" w:rsidP="00BF6D35">
      <w:pPr>
        <w:pStyle w:val="ListParagraph"/>
      </w:pPr>
    </w:p>
    <w:p w14:paraId="7D30E018" w14:textId="77777777" w:rsidR="00845386" w:rsidRDefault="00845386" w:rsidP="007F0A10">
      <w:pPr>
        <w:spacing w:after="0"/>
        <w:ind w:left="720"/>
      </w:pPr>
      <w:r>
        <w:t xml:space="preserve"> </w:t>
      </w:r>
    </w:p>
    <w:p w14:paraId="5711F540" w14:textId="77777777" w:rsidR="00845386" w:rsidRDefault="00845386" w:rsidP="00B368B7">
      <w:pPr>
        <w:spacing w:after="0"/>
        <w:rPr>
          <w:b/>
          <w:bCs/>
          <w:u w:val="single"/>
        </w:rPr>
      </w:pPr>
      <w:r w:rsidRPr="00845386">
        <w:rPr>
          <w:b/>
          <w:bCs/>
          <w:u w:val="single"/>
        </w:rPr>
        <w:t>Progress Report</w:t>
      </w:r>
    </w:p>
    <w:p w14:paraId="79A7B652" w14:textId="77777777" w:rsidR="00A123A5" w:rsidRDefault="00A123A5" w:rsidP="00DA2118">
      <w:pPr>
        <w:spacing w:after="0"/>
        <w:ind w:left="720"/>
        <w:rPr>
          <w:b/>
          <w:bCs/>
          <w:u w:val="single"/>
        </w:rPr>
      </w:pPr>
    </w:p>
    <w:p w14:paraId="66FA6DE4" w14:textId="02BF1D21" w:rsidR="00DA2118" w:rsidRPr="00A123A5" w:rsidRDefault="00A123A5" w:rsidP="00A123A5">
      <w:pPr>
        <w:pStyle w:val="ListParagraph"/>
        <w:numPr>
          <w:ilvl w:val="0"/>
          <w:numId w:val="41"/>
        </w:numPr>
      </w:pPr>
      <w:r w:rsidRPr="00A123A5">
        <w:t xml:space="preserve">The progress report (published on website) was reviewed and the following was noted: </w:t>
      </w:r>
    </w:p>
    <w:p w14:paraId="3056B545" w14:textId="77777777" w:rsidR="00DA2118" w:rsidRPr="00A123A5" w:rsidRDefault="00DA2118" w:rsidP="00A123A5">
      <w:pPr>
        <w:pStyle w:val="ListParagraph"/>
      </w:pPr>
    </w:p>
    <w:p w14:paraId="67CC83FA" w14:textId="20EEC678" w:rsidR="00A123A5" w:rsidRDefault="00DA2118" w:rsidP="00A123A5">
      <w:pPr>
        <w:pStyle w:val="ListParagraph"/>
        <w:numPr>
          <w:ilvl w:val="0"/>
          <w:numId w:val="41"/>
        </w:numPr>
      </w:pPr>
      <w:r>
        <w:t xml:space="preserve">Teagasc confirmed they </w:t>
      </w:r>
      <w:r w:rsidR="00A123A5">
        <w:t xml:space="preserve">can update the Taskforce on their scoping for an in-depth review of the QPS grid at the next meeting. </w:t>
      </w:r>
    </w:p>
    <w:p w14:paraId="2BEFF765" w14:textId="77777777" w:rsidR="00A123A5" w:rsidRDefault="00A123A5" w:rsidP="00A123A5">
      <w:pPr>
        <w:pStyle w:val="ListParagraph"/>
      </w:pPr>
    </w:p>
    <w:p w14:paraId="05393076" w14:textId="003E7EE0" w:rsidR="005D7903" w:rsidRDefault="00A123A5" w:rsidP="00A123A5">
      <w:pPr>
        <w:pStyle w:val="ListParagraph"/>
        <w:numPr>
          <w:ilvl w:val="0"/>
          <w:numId w:val="41"/>
        </w:numPr>
      </w:pPr>
      <w:r>
        <w:t xml:space="preserve">It was confirmed that the </w:t>
      </w:r>
      <w:r w:rsidR="005D7903" w:rsidRPr="005D7903">
        <w:t xml:space="preserve">PGI application </w:t>
      </w:r>
      <w:r>
        <w:t>was submitted</w:t>
      </w:r>
      <w:r w:rsidR="005D7903">
        <w:t xml:space="preserve"> to Brussels on 27 November</w:t>
      </w:r>
      <w:r>
        <w:t xml:space="preserve"> and is now</w:t>
      </w:r>
      <w:r w:rsidR="005D7903">
        <w:t xml:space="preserve"> under consideration by </w:t>
      </w:r>
      <w:r>
        <w:t>the EU Commission</w:t>
      </w:r>
      <w:r w:rsidR="005D7903">
        <w:t xml:space="preserve">. </w:t>
      </w:r>
    </w:p>
    <w:p w14:paraId="7E04C84D" w14:textId="77777777" w:rsidR="005D7903" w:rsidRDefault="005D7903" w:rsidP="00845386">
      <w:pPr>
        <w:spacing w:after="0"/>
        <w:ind w:left="720"/>
        <w:rPr>
          <w:b/>
          <w:bCs/>
        </w:rPr>
      </w:pPr>
    </w:p>
    <w:p w14:paraId="18851CF9" w14:textId="77777777" w:rsidR="00DA2118" w:rsidRDefault="00DA2118" w:rsidP="00DA2118">
      <w:pPr>
        <w:spacing w:after="0"/>
        <w:ind w:left="720"/>
        <w:rPr>
          <w:b/>
          <w:bCs/>
        </w:rPr>
      </w:pPr>
    </w:p>
    <w:p w14:paraId="32CA5502" w14:textId="1B4C5AF2" w:rsidR="00A123A5" w:rsidRDefault="00DA2118" w:rsidP="00A123A5">
      <w:pPr>
        <w:spacing w:after="0"/>
        <w:rPr>
          <w:b/>
          <w:bCs/>
          <w:u w:val="single"/>
        </w:rPr>
      </w:pPr>
      <w:r w:rsidRPr="00A123A5">
        <w:rPr>
          <w:b/>
          <w:bCs/>
          <w:u w:val="single"/>
        </w:rPr>
        <w:t xml:space="preserve">Suckler Brand </w:t>
      </w:r>
      <w:r w:rsidR="00A123A5">
        <w:rPr>
          <w:b/>
          <w:bCs/>
          <w:u w:val="single"/>
        </w:rPr>
        <w:t xml:space="preserve">promotion oversight group </w:t>
      </w:r>
      <w:r w:rsidRPr="00A123A5">
        <w:rPr>
          <w:b/>
          <w:bCs/>
          <w:u w:val="single"/>
        </w:rPr>
        <w:t xml:space="preserve">Update               </w:t>
      </w:r>
    </w:p>
    <w:p w14:paraId="0C6DB6E8" w14:textId="77777777" w:rsidR="00A123A5" w:rsidRDefault="00A123A5" w:rsidP="00A123A5">
      <w:pPr>
        <w:spacing w:after="0"/>
        <w:rPr>
          <w:b/>
          <w:bCs/>
          <w:u w:val="single"/>
        </w:rPr>
      </w:pPr>
    </w:p>
    <w:p w14:paraId="035C1D23" w14:textId="13C43C81" w:rsidR="00A123A5" w:rsidRPr="00976BCE" w:rsidRDefault="00A123A5" w:rsidP="00A123A5">
      <w:pPr>
        <w:pStyle w:val="ListParagraph"/>
        <w:numPr>
          <w:ilvl w:val="0"/>
          <w:numId w:val="45"/>
        </w:numPr>
        <w:spacing w:after="0"/>
        <w:rPr>
          <w:b/>
          <w:bCs/>
        </w:rPr>
      </w:pPr>
      <w:r w:rsidRPr="00A123A5">
        <w:t xml:space="preserve">An update on the initiation meeting of the </w:t>
      </w:r>
      <w:r w:rsidR="00E35649" w:rsidRPr="00E35649">
        <w:rPr>
          <w:b/>
          <w:bCs/>
          <w:i/>
          <w:iCs/>
        </w:rPr>
        <w:t>naturally reared</w:t>
      </w:r>
      <w:r w:rsidR="00E35649">
        <w:t xml:space="preserve"> </w:t>
      </w:r>
      <w:r w:rsidRPr="00A123A5">
        <w:t xml:space="preserve">suckler brand promotion </w:t>
      </w:r>
      <w:r>
        <w:t>oversight group</w:t>
      </w:r>
      <w:r w:rsidR="00DA2118" w:rsidRPr="00A123A5">
        <w:t xml:space="preserve"> </w:t>
      </w:r>
      <w:r>
        <w:t>was given by the group Chair.  The group met on 14</w:t>
      </w:r>
      <w:r w:rsidRPr="00A123A5">
        <w:rPr>
          <w:vertAlign w:val="superscript"/>
        </w:rPr>
        <w:t>th</w:t>
      </w:r>
      <w:r>
        <w:t xml:space="preserve"> December to agree the Terms of reference of the group as well as the work programme for the brand development and KPIs.  It was emphasised that </w:t>
      </w:r>
      <w:r w:rsidR="00976BCE">
        <w:t xml:space="preserve">farmers will be involved at every stage of development. </w:t>
      </w:r>
    </w:p>
    <w:p w14:paraId="1BE5AA91" w14:textId="5E99BDCA" w:rsidR="00976BCE" w:rsidRPr="00976BCE" w:rsidRDefault="00976BCE" w:rsidP="00976BCE">
      <w:pPr>
        <w:pStyle w:val="ListParagraph"/>
        <w:numPr>
          <w:ilvl w:val="0"/>
          <w:numId w:val="45"/>
        </w:numPr>
        <w:spacing w:after="0"/>
      </w:pPr>
      <w:r w:rsidRPr="00976BCE">
        <w:t>The group will meet quarterly</w:t>
      </w:r>
    </w:p>
    <w:p w14:paraId="4B12C85F" w14:textId="215B9AA4" w:rsidR="00976BCE" w:rsidRDefault="00976BCE" w:rsidP="00976BCE">
      <w:pPr>
        <w:pStyle w:val="ListParagraph"/>
        <w:numPr>
          <w:ilvl w:val="0"/>
          <w:numId w:val="45"/>
        </w:numPr>
        <w:spacing w:after="0"/>
      </w:pPr>
      <w:r w:rsidRPr="00976BCE">
        <w:t>It was again clarified in relation to the grass</w:t>
      </w:r>
      <w:r>
        <w:t>-</w:t>
      </w:r>
      <w:r w:rsidRPr="00976BCE">
        <w:t xml:space="preserve">fed logo that it will be available for anyone who meets the </w:t>
      </w:r>
      <w:r w:rsidR="00BD7A31" w:rsidRPr="00976BCE">
        <w:t>grass-fed</w:t>
      </w:r>
      <w:r w:rsidRPr="00976BCE">
        <w:t xml:space="preserve"> criteria and can be verified by SBLAS to use.</w:t>
      </w:r>
      <w:r>
        <w:t xml:space="preserve">  It was clarified that Bord Bia own the logo. Other groups are free to develop a logo attached to their own standard. </w:t>
      </w:r>
    </w:p>
    <w:p w14:paraId="6D8E7A09" w14:textId="4DEA4DA4" w:rsidR="000A4CE9" w:rsidRDefault="00976BCE" w:rsidP="00976BCE">
      <w:pPr>
        <w:pStyle w:val="ListParagraph"/>
        <w:numPr>
          <w:ilvl w:val="0"/>
          <w:numId w:val="45"/>
        </w:numPr>
        <w:spacing w:after="0"/>
      </w:pPr>
      <w:r>
        <w:t xml:space="preserve">It was clarified that the TOR was for agreement by the oversight group who will report to the Taskforce.  It was suggested that the language in the TOR around farmer involvement in the development of the brand be strengthened. </w:t>
      </w:r>
    </w:p>
    <w:p w14:paraId="30B15EC7" w14:textId="77777777" w:rsidR="00976BCE" w:rsidRDefault="00976BCE" w:rsidP="00976BCE">
      <w:pPr>
        <w:pStyle w:val="ListParagraph"/>
        <w:spacing w:after="0"/>
      </w:pPr>
    </w:p>
    <w:p w14:paraId="0DEC8A0F" w14:textId="39091F81" w:rsidR="000A4CE9" w:rsidRPr="00976BCE" w:rsidRDefault="00976BCE" w:rsidP="00976BCE">
      <w:pPr>
        <w:spacing w:after="0"/>
        <w:rPr>
          <w:b/>
          <w:bCs/>
          <w:u w:val="single"/>
        </w:rPr>
      </w:pPr>
      <w:r>
        <w:rPr>
          <w:b/>
          <w:bCs/>
          <w:u w:val="single"/>
        </w:rPr>
        <w:t>Conclusion</w:t>
      </w:r>
    </w:p>
    <w:p w14:paraId="6A8F17B9" w14:textId="77777777" w:rsidR="00976BCE" w:rsidRDefault="00976BCE" w:rsidP="00976BCE">
      <w:pPr>
        <w:pStyle w:val="ListParagraph"/>
        <w:spacing w:after="0"/>
      </w:pPr>
    </w:p>
    <w:p w14:paraId="46790C62" w14:textId="6CFE1596" w:rsidR="000A4CE9" w:rsidRDefault="000A4CE9" w:rsidP="00976BCE">
      <w:pPr>
        <w:pStyle w:val="ListParagraph"/>
        <w:numPr>
          <w:ilvl w:val="0"/>
          <w:numId w:val="45"/>
        </w:numPr>
        <w:spacing w:after="0"/>
      </w:pPr>
      <w:r>
        <w:t>O</w:t>
      </w:r>
      <w:r w:rsidR="00CD4497">
        <w:t xml:space="preserve">bservations </w:t>
      </w:r>
      <w:r>
        <w:t>on GT reports</w:t>
      </w:r>
      <w:r w:rsidR="00CD4497">
        <w:t xml:space="preserve"> </w:t>
      </w:r>
      <w:r w:rsidR="00976BCE">
        <w:t xml:space="preserve">should be submitted to the secretariat no later than </w:t>
      </w:r>
      <w:r w:rsidR="00CD4497">
        <w:t>8</w:t>
      </w:r>
      <w:r w:rsidR="00CD4497" w:rsidRPr="00976BCE">
        <w:t>th</w:t>
      </w:r>
      <w:r w:rsidR="00CD4497">
        <w:t xml:space="preserve"> January </w:t>
      </w:r>
    </w:p>
    <w:p w14:paraId="0DA2C52A" w14:textId="76E3892A" w:rsidR="00976BCE" w:rsidRDefault="00976BCE" w:rsidP="00976BCE">
      <w:pPr>
        <w:pStyle w:val="ListParagraph"/>
        <w:numPr>
          <w:ilvl w:val="0"/>
          <w:numId w:val="45"/>
        </w:numPr>
        <w:spacing w:after="0"/>
      </w:pPr>
      <w:r>
        <w:t>The next</w:t>
      </w:r>
      <w:r w:rsidR="000A4CE9">
        <w:t xml:space="preserve"> meeting </w:t>
      </w:r>
      <w:r w:rsidR="00CD4497">
        <w:t xml:space="preserve">will be </w:t>
      </w:r>
      <w:r w:rsidR="000A4CE9">
        <w:t xml:space="preserve">early </w:t>
      </w:r>
      <w:r>
        <w:t>2021 and have a full day sitting to conclude the GT reports. As well as include the Teagasc update on the scoping of the QPS review.</w:t>
      </w:r>
    </w:p>
    <w:p w14:paraId="12120F1D" w14:textId="533543E5" w:rsidR="00976BCE" w:rsidRDefault="00976BCE" w:rsidP="00976BCE">
      <w:pPr>
        <w:spacing w:after="0"/>
      </w:pPr>
    </w:p>
    <w:p w14:paraId="3D7A88A0" w14:textId="05D099F2" w:rsidR="00976BCE" w:rsidRDefault="00976BCE" w:rsidP="00976BCE">
      <w:pPr>
        <w:spacing w:after="0"/>
      </w:pPr>
    </w:p>
    <w:p w14:paraId="3919D71F" w14:textId="77777777" w:rsidR="000A4CE9" w:rsidRPr="000A4CE9" w:rsidRDefault="000A4CE9" w:rsidP="00976BCE">
      <w:pPr>
        <w:pStyle w:val="ListParagraph"/>
        <w:spacing w:after="0"/>
      </w:pPr>
    </w:p>
    <w:sectPr w:rsidR="000A4CE9" w:rsidRPr="000A4CE9" w:rsidSect="00794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0E5"/>
    <w:multiLevelType w:val="hybridMultilevel"/>
    <w:tmpl w:val="88F4A43E"/>
    <w:lvl w:ilvl="0" w:tplc="18090001">
      <w:start w:val="1"/>
      <w:numFmt w:val="bullet"/>
      <w:lvlText w:val=""/>
      <w:lvlJc w:val="left"/>
      <w:pPr>
        <w:ind w:left="720" w:hanging="360"/>
      </w:pPr>
      <w:rPr>
        <w:rFonts w:ascii="Symbol" w:hAnsi="Symbol" w:hint="default"/>
      </w:rPr>
    </w:lvl>
    <w:lvl w:ilvl="1" w:tplc="A0A8DC20">
      <w:start w:val="2020"/>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B05F03"/>
    <w:multiLevelType w:val="hybridMultilevel"/>
    <w:tmpl w:val="1A5A4E2E"/>
    <w:lvl w:ilvl="0" w:tplc="8378352A">
      <w:numFmt w:val="bullet"/>
      <w:lvlText w:val="-"/>
      <w:lvlJc w:val="left"/>
      <w:pPr>
        <w:ind w:left="3240" w:hanging="360"/>
      </w:pPr>
      <w:rPr>
        <w:rFonts w:ascii="Calibri" w:eastAsiaTheme="minorHAnsi" w:hAnsi="Calibri" w:cs="Calibri" w:hint="default"/>
        <w:u w:val="none"/>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2" w15:restartNumberingAfterBreak="0">
    <w:nsid w:val="024302EC"/>
    <w:multiLevelType w:val="hybridMultilevel"/>
    <w:tmpl w:val="58D20552"/>
    <w:lvl w:ilvl="0" w:tplc="18090001">
      <w:start w:val="1"/>
      <w:numFmt w:val="bullet"/>
      <w:lvlText w:val=""/>
      <w:lvlJc w:val="left"/>
      <w:pPr>
        <w:ind w:left="3336" w:hanging="360"/>
      </w:pPr>
      <w:rPr>
        <w:rFonts w:ascii="Symbol" w:hAnsi="Symbol" w:hint="default"/>
        <w:u w:val="none"/>
      </w:rPr>
    </w:lvl>
    <w:lvl w:ilvl="1" w:tplc="18090003">
      <w:start w:val="1"/>
      <w:numFmt w:val="bullet"/>
      <w:lvlText w:val="o"/>
      <w:lvlJc w:val="left"/>
      <w:pPr>
        <w:ind w:left="4056" w:hanging="360"/>
      </w:pPr>
      <w:rPr>
        <w:rFonts w:ascii="Courier New" w:hAnsi="Courier New" w:cs="Courier New" w:hint="default"/>
      </w:rPr>
    </w:lvl>
    <w:lvl w:ilvl="2" w:tplc="18090005" w:tentative="1">
      <w:start w:val="1"/>
      <w:numFmt w:val="bullet"/>
      <w:lvlText w:val=""/>
      <w:lvlJc w:val="left"/>
      <w:pPr>
        <w:ind w:left="4776" w:hanging="360"/>
      </w:pPr>
      <w:rPr>
        <w:rFonts w:ascii="Wingdings" w:hAnsi="Wingdings" w:hint="default"/>
      </w:rPr>
    </w:lvl>
    <w:lvl w:ilvl="3" w:tplc="18090001" w:tentative="1">
      <w:start w:val="1"/>
      <w:numFmt w:val="bullet"/>
      <w:lvlText w:val=""/>
      <w:lvlJc w:val="left"/>
      <w:pPr>
        <w:ind w:left="5496" w:hanging="360"/>
      </w:pPr>
      <w:rPr>
        <w:rFonts w:ascii="Symbol" w:hAnsi="Symbol" w:hint="default"/>
      </w:rPr>
    </w:lvl>
    <w:lvl w:ilvl="4" w:tplc="18090003" w:tentative="1">
      <w:start w:val="1"/>
      <w:numFmt w:val="bullet"/>
      <w:lvlText w:val="o"/>
      <w:lvlJc w:val="left"/>
      <w:pPr>
        <w:ind w:left="6216" w:hanging="360"/>
      </w:pPr>
      <w:rPr>
        <w:rFonts w:ascii="Courier New" w:hAnsi="Courier New" w:cs="Courier New" w:hint="default"/>
      </w:rPr>
    </w:lvl>
    <w:lvl w:ilvl="5" w:tplc="18090005" w:tentative="1">
      <w:start w:val="1"/>
      <w:numFmt w:val="bullet"/>
      <w:lvlText w:val=""/>
      <w:lvlJc w:val="left"/>
      <w:pPr>
        <w:ind w:left="6936" w:hanging="360"/>
      </w:pPr>
      <w:rPr>
        <w:rFonts w:ascii="Wingdings" w:hAnsi="Wingdings" w:hint="default"/>
      </w:rPr>
    </w:lvl>
    <w:lvl w:ilvl="6" w:tplc="18090001" w:tentative="1">
      <w:start w:val="1"/>
      <w:numFmt w:val="bullet"/>
      <w:lvlText w:val=""/>
      <w:lvlJc w:val="left"/>
      <w:pPr>
        <w:ind w:left="7656" w:hanging="360"/>
      </w:pPr>
      <w:rPr>
        <w:rFonts w:ascii="Symbol" w:hAnsi="Symbol" w:hint="default"/>
      </w:rPr>
    </w:lvl>
    <w:lvl w:ilvl="7" w:tplc="18090003">
      <w:start w:val="1"/>
      <w:numFmt w:val="bullet"/>
      <w:lvlText w:val="o"/>
      <w:lvlJc w:val="left"/>
      <w:pPr>
        <w:ind w:left="8376" w:hanging="360"/>
      </w:pPr>
      <w:rPr>
        <w:rFonts w:ascii="Courier New" w:hAnsi="Courier New" w:cs="Courier New" w:hint="default"/>
      </w:rPr>
    </w:lvl>
    <w:lvl w:ilvl="8" w:tplc="18090005" w:tentative="1">
      <w:start w:val="1"/>
      <w:numFmt w:val="bullet"/>
      <w:lvlText w:val=""/>
      <w:lvlJc w:val="left"/>
      <w:pPr>
        <w:ind w:left="9096" w:hanging="360"/>
      </w:pPr>
      <w:rPr>
        <w:rFonts w:ascii="Wingdings" w:hAnsi="Wingdings" w:hint="default"/>
      </w:rPr>
    </w:lvl>
  </w:abstractNum>
  <w:abstractNum w:abstractNumId="3" w15:restartNumberingAfterBreak="0">
    <w:nsid w:val="031909B5"/>
    <w:multiLevelType w:val="hybridMultilevel"/>
    <w:tmpl w:val="3BFCC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3743B28"/>
    <w:multiLevelType w:val="hybridMultilevel"/>
    <w:tmpl w:val="5F84B49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2D2629"/>
    <w:multiLevelType w:val="hybridMultilevel"/>
    <w:tmpl w:val="6D141C0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423C4D"/>
    <w:multiLevelType w:val="hybridMultilevel"/>
    <w:tmpl w:val="4DC4D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4A1458"/>
    <w:multiLevelType w:val="hybridMultilevel"/>
    <w:tmpl w:val="82569A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8313AD"/>
    <w:multiLevelType w:val="hybridMultilevel"/>
    <w:tmpl w:val="07B05068"/>
    <w:lvl w:ilvl="0" w:tplc="8E640FBA">
      <w:numFmt w:val="bullet"/>
      <w:lvlText w:val="-"/>
      <w:lvlJc w:val="left"/>
      <w:pPr>
        <w:ind w:left="3240" w:hanging="360"/>
      </w:pPr>
      <w:rPr>
        <w:rFonts w:ascii="Calibri" w:eastAsiaTheme="minorHAnsi"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0094F0A"/>
    <w:multiLevelType w:val="hybridMultilevel"/>
    <w:tmpl w:val="7974CB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4070DA0"/>
    <w:multiLevelType w:val="hybridMultilevel"/>
    <w:tmpl w:val="A4EED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1B63CC"/>
    <w:multiLevelType w:val="hybridMultilevel"/>
    <w:tmpl w:val="33AEF7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DB27174"/>
    <w:multiLevelType w:val="hybridMultilevel"/>
    <w:tmpl w:val="2572ED88"/>
    <w:lvl w:ilvl="0" w:tplc="A6F81F9C">
      <w:numFmt w:val="bullet"/>
      <w:lvlText w:val="-"/>
      <w:lvlJc w:val="left"/>
      <w:pPr>
        <w:ind w:left="1440" w:hanging="360"/>
      </w:pPr>
      <w:rPr>
        <w:rFonts w:ascii="Calibri" w:eastAsiaTheme="minorHAnsi" w:hAnsi="Calibri" w:cs="Calibri" w:hint="default"/>
        <w:u w:val="none"/>
      </w:rPr>
    </w:lvl>
    <w:lvl w:ilvl="1" w:tplc="A6F81F9C">
      <w:numFmt w:val="bullet"/>
      <w:lvlText w:val="-"/>
      <w:lvlJc w:val="left"/>
      <w:pPr>
        <w:ind w:left="2160" w:hanging="360"/>
      </w:pPr>
      <w:rPr>
        <w:rFonts w:ascii="Calibri" w:eastAsiaTheme="minorHAnsi" w:hAnsi="Calibri" w:cs="Calibri" w:hint="default"/>
        <w:u w:val="none"/>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BFB6670"/>
    <w:multiLevelType w:val="hybridMultilevel"/>
    <w:tmpl w:val="D828087A"/>
    <w:lvl w:ilvl="0" w:tplc="1100B20A">
      <w:numFmt w:val="bullet"/>
      <w:lvlText w:val="-"/>
      <w:lvlJc w:val="left"/>
      <w:pPr>
        <w:ind w:left="3240" w:hanging="360"/>
      </w:pPr>
      <w:rPr>
        <w:rFonts w:ascii="Calibri" w:eastAsiaTheme="minorHAnsi" w:hAnsi="Calibri" w:cs="Calibri" w:hint="default"/>
        <w:u w:val="none"/>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14" w15:restartNumberingAfterBreak="0">
    <w:nsid w:val="2DF95902"/>
    <w:multiLevelType w:val="hybridMultilevel"/>
    <w:tmpl w:val="4ED808A2"/>
    <w:lvl w:ilvl="0" w:tplc="7BE09ECA">
      <w:numFmt w:val="bullet"/>
      <w:lvlText w:val="-"/>
      <w:lvlJc w:val="left"/>
      <w:pPr>
        <w:ind w:left="3240" w:hanging="360"/>
      </w:pPr>
      <w:rPr>
        <w:rFonts w:ascii="Calibri" w:eastAsiaTheme="minorHAnsi" w:hAnsi="Calibri" w:cs="Calibri" w:hint="default"/>
        <w:u w:val="none"/>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15" w15:restartNumberingAfterBreak="0">
    <w:nsid w:val="2E9668B3"/>
    <w:multiLevelType w:val="hybridMultilevel"/>
    <w:tmpl w:val="C07C08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FEB7AF2"/>
    <w:multiLevelType w:val="hybridMultilevel"/>
    <w:tmpl w:val="355EE87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524F96"/>
    <w:multiLevelType w:val="hybridMultilevel"/>
    <w:tmpl w:val="026C4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74011E"/>
    <w:multiLevelType w:val="hybridMultilevel"/>
    <w:tmpl w:val="16F88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211E16"/>
    <w:multiLevelType w:val="hybridMultilevel"/>
    <w:tmpl w:val="71C88D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B70125C">
      <w:start w:val="1"/>
      <w:numFmt w:val="bullet"/>
      <w:lvlText w:val=""/>
      <w:lvlJc w:val="left"/>
      <w:pPr>
        <w:ind w:left="2160" w:hanging="360"/>
      </w:pPr>
      <w:rPr>
        <w:rFonts w:ascii="Symbol" w:hAnsi="Symbol" w:hint="default"/>
      </w:rPr>
    </w:lvl>
    <w:lvl w:ilvl="3" w:tplc="18090001">
      <w:start w:val="1"/>
      <w:numFmt w:val="bullet"/>
      <w:lvlText w:val=""/>
      <w:lvlJc w:val="left"/>
      <w:pPr>
        <w:ind w:left="2880" w:hanging="360"/>
      </w:pPr>
      <w:rPr>
        <w:rFonts w:ascii="Symbol" w:hAnsi="Symbol" w:hint="default"/>
      </w:rPr>
    </w:lvl>
    <w:lvl w:ilvl="4" w:tplc="0B70125C">
      <w:start w:val="1"/>
      <w:numFmt w:val="bullet"/>
      <w:lvlText w:val=""/>
      <w:lvlJc w:val="left"/>
      <w:pPr>
        <w:ind w:left="3600" w:hanging="360"/>
      </w:pPr>
      <w:rPr>
        <w:rFonts w:ascii="Symbol" w:hAnsi="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AB2B30"/>
    <w:multiLevelType w:val="hybridMultilevel"/>
    <w:tmpl w:val="B09CBC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8CD61C8"/>
    <w:multiLevelType w:val="hybridMultilevel"/>
    <w:tmpl w:val="0C92A344"/>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99547BC"/>
    <w:multiLevelType w:val="hybridMultilevel"/>
    <w:tmpl w:val="D7C8A24A"/>
    <w:lvl w:ilvl="0" w:tplc="18090001">
      <w:start w:val="1"/>
      <w:numFmt w:val="bullet"/>
      <w:lvlText w:val=""/>
      <w:lvlJc w:val="left"/>
      <w:pPr>
        <w:ind w:left="1488" w:hanging="360"/>
      </w:pPr>
      <w:rPr>
        <w:rFonts w:ascii="Symbol" w:hAnsi="Symbol" w:hint="default"/>
      </w:rPr>
    </w:lvl>
    <w:lvl w:ilvl="1" w:tplc="18090003" w:tentative="1">
      <w:start w:val="1"/>
      <w:numFmt w:val="bullet"/>
      <w:lvlText w:val="o"/>
      <w:lvlJc w:val="left"/>
      <w:pPr>
        <w:ind w:left="2208" w:hanging="360"/>
      </w:pPr>
      <w:rPr>
        <w:rFonts w:ascii="Courier New" w:hAnsi="Courier New" w:cs="Courier New" w:hint="default"/>
      </w:rPr>
    </w:lvl>
    <w:lvl w:ilvl="2" w:tplc="18090005" w:tentative="1">
      <w:start w:val="1"/>
      <w:numFmt w:val="bullet"/>
      <w:lvlText w:val=""/>
      <w:lvlJc w:val="left"/>
      <w:pPr>
        <w:ind w:left="2928" w:hanging="360"/>
      </w:pPr>
      <w:rPr>
        <w:rFonts w:ascii="Wingdings" w:hAnsi="Wingdings" w:hint="default"/>
      </w:rPr>
    </w:lvl>
    <w:lvl w:ilvl="3" w:tplc="18090001" w:tentative="1">
      <w:start w:val="1"/>
      <w:numFmt w:val="bullet"/>
      <w:lvlText w:val=""/>
      <w:lvlJc w:val="left"/>
      <w:pPr>
        <w:ind w:left="3648" w:hanging="360"/>
      </w:pPr>
      <w:rPr>
        <w:rFonts w:ascii="Symbol" w:hAnsi="Symbol" w:hint="default"/>
      </w:rPr>
    </w:lvl>
    <w:lvl w:ilvl="4" w:tplc="18090003" w:tentative="1">
      <w:start w:val="1"/>
      <w:numFmt w:val="bullet"/>
      <w:lvlText w:val="o"/>
      <w:lvlJc w:val="left"/>
      <w:pPr>
        <w:ind w:left="4368" w:hanging="360"/>
      </w:pPr>
      <w:rPr>
        <w:rFonts w:ascii="Courier New" w:hAnsi="Courier New" w:cs="Courier New" w:hint="default"/>
      </w:rPr>
    </w:lvl>
    <w:lvl w:ilvl="5" w:tplc="18090005" w:tentative="1">
      <w:start w:val="1"/>
      <w:numFmt w:val="bullet"/>
      <w:lvlText w:val=""/>
      <w:lvlJc w:val="left"/>
      <w:pPr>
        <w:ind w:left="5088" w:hanging="360"/>
      </w:pPr>
      <w:rPr>
        <w:rFonts w:ascii="Wingdings" w:hAnsi="Wingdings" w:hint="default"/>
      </w:rPr>
    </w:lvl>
    <w:lvl w:ilvl="6" w:tplc="18090001" w:tentative="1">
      <w:start w:val="1"/>
      <w:numFmt w:val="bullet"/>
      <w:lvlText w:val=""/>
      <w:lvlJc w:val="left"/>
      <w:pPr>
        <w:ind w:left="5808" w:hanging="360"/>
      </w:pPr>
      <w:rPr>
        <w:rFonts w:ascii="Symbol" w:hAnsi="Symbol" w:hint="default"/>
      </w:rPr>
    </w:lvl>
    <w:lvl w:ilvl="7" w:tplc="18090003" w:tentative="1">
      <w:start w:val="1"/>
      <w:numFmt w:val="bullet"/>
      <w:lvlText w:val="o"/>
      <w:lvlJc w:val="left"/>
      <w:pPr>
        <w:ind w:left="6528" w:hanging="360"/>
      </w:pPr>
      <w:rPr>
        <w:rFonts w:ascii="Courier New" w:hAnsi="Courier New" w:cs="Courier New" w:hint="default"/>
      </w:rPr>
    </w:lvl>
    <w:lvl w:ilvl="8" w:tplc="18090005" w:tentative="1">
      <w:start w:val="1"/>
      <w:numFmt w:val="bullet"/>
      <w:lvlText w:val=""/>
      <w:lvlJc w:val="left"/>
      <w:pPr>
        <w:ind w:left="7248" w:hanging="360"/>
      </w:pPr>
      <w:rPr>
        <w:rFonts w:ascii="Wingdings" w:hAnsi="Wingdings" w:hint="default"/>
      </w:rPr>
    </w:lvl>
  </w:abstractNum>
  <w:abstractNum w:abstractNumId="23" w15:restartNumberingAfterBreak="0">
    <w:nsid w:val="3AE809E7"/>
    <w:multiLevelType w:val="hybridMultilevel"/>
    <w:tmpl w:val="19E49082"/>
    <w:lvl w:ilvl="0" w:tplc="B3FEA5E0">
      <w:numFmt w:val="bullet"/>
      <w:lvlText w:val="-"/>
      <w:lvlJc w:val="left"/>
      <w:pPr>
        <w:ind w:left="3240" w:hanging="360"/>
      </w:pPr>
      <w:rPr>
        <w:rFonts w:ascii="Calibri" w:eastAsiaTheme="minorHAnsi" w:hAnsi="Calibri" w:cs="Calibri" w:hint="default"/>
        <w:u w:val="none"/>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24" w15:restartNumberingAfterBreak="0">
    <w:nsid w:val="3BD104EB"/>
    <w:multiLevelType w:val="hybridMultilevel"/>
    <w:tmpl w:val="905E0F72"/>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5" w15:restartNumberingAfterBreak="0">
    <w:nsid w:val="3D1C0A13"/>
    <w:multiLevelType w:val="hybridMultilevel"/>
    <w:tmpl w:val="6436085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3D454614"/>
    <w:multiLevelType w:val="hybridMultilevel"/>
    <w:tmpl w:val="734225F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3D4669F1"/>
    <w:multiLevelType w:val="hybridMultilevel"/>
    <w:tmpl w:val="0B7E1C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78F078F"/>
    <w:multiLevelType w:val="hybridMultilevel"/>
    <w:tmpl w:val="6DA00D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B29276D"/>
    <w:multiLevelType w:val="hybridMultilevel"/>
    <w:tmpl w:val="2B84E050"/>
    <w:lvl w:ilvl="0" w:tplc="18090001">
      <w:start w:val="1"/>
      <w:numFmt w:val="bullet"/>
      <w:lvlText w:val=""/>
      <w:lvlJc w:val="left"/>
      <w:pPr>
        <w:ind w:left="720" w:hanging="360"/>
      </w:pPr>
      <w:rPr>
        <w:rFonts w:ascii="Symbol" w:hAnsi="Symbol" w:hint="default"/>
      </w:rPr>
    </w:lvl>
    <w:lvl w:ilvl="1" w:tplc="2076D8A0">
      <w:start w:val="2020"/>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2E23CC"/>
    <w:multiLevelType w:val="hybridMultilevel"/>
    <w:tmpl w:val="24D21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FD1397"/>
    <w:multiLevelType w:val="hybridMultilevel"/>
    <w:tmpl w:val="8DE62B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3B556C"/>
    <w:multiLevelType w:val="hybridMultilevel"/>
    <w:tmpl w:val="D132EB7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5BFA3FD7"/>
    <w:multiLevelType w:val="hybridMultilevel"/>
    <w:tmpl w:val="BD88A7A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5FFE5484"/>
    <w:multiLevelType w:val="hybridMultilevel"/>
    <w:tmpl w:val="1030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A90E03"/>
    <w:multiLevelType w:val="hybridMultilevel"/>
    <w:tmpl w:val="F224D87A"/>
    <w:lvl w:ilvl="0" w:tplc="18090001">
      <w:start w:val="1"/>
      <w:numFmt w:val="bullet"/>
      <w:lvlText w:val=""/>
      <w:lvlJc w:val="left"/>
      <w:pPr>
        <w:ind w:left="720" w:hanging="360"/>
      </w:pPr>
      <w:rPr>
        <w:rFonts w:ascii="Symbol" w:hAnsi="Symbol" w:hint="default"/>
      </w:rPr>
    </w:lvl>
    <w:lvl w:ilvl="1" w:tplc="3E0CBC68">
      <w:start w:val="95"/>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66A461E"/>
    <w:multiLevelType w:val="hybridMultilevel"/>
    <w:tmpl w:val="3D647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B921133"/>
    <w:multiLevelType w:val="multilevel"/>
    <w:tmpl w:val="1A9C14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E755583"/>
    <w:multiLevelType w:val="hybridMultilevel"/>
    <w:tmpl w:val="82022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753312"/>
    <w:multiLevelType w:val="hybridMultilevel"/>
    <w:tmpl w:val="F4EA5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786CEF"/>
    <w:multiLevelType w:val="hybridMultilevel"/>
    <w:tmpl w:val="DB52821E"/>
    <w:lvl w:ilvl="0" w:tplc="A6F81F9C">
      <w:numFmt w:val="bullet"/>
      <w:lvlText w:val="-"/>
      <w:lvlJc w:val="left"/>
      <w:pPr>
        <w:ind w:left="720" w:hanging="360"/>
      </w:pPr>
      <w:rPr>
        <w:rFonts w:ascii="Calibri" w:eastAsiaTheme="minorHAnsi" w:hAnsi="Calibri" w:cs="Calibri" w:hint="default"/>
        <w:u w:val="none"/>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B8033E6"/>
    <w:multiLevelType w:val="hybridMultilevel"/>
    <w:tmpl w:val="6F3477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7BF71311"/>
    <w:multiLevelType w:val="hybridMultilevel"/>
    <w:tmpl w:val="A134F144"/>
    <w:lvl w:ilvl="0" w:tplc="8E640FBA">
      <w:numFmt w:val="bullet"/>
      <w:lvlText w:val="-"/>
      <w:lvlJc w:val="left"/>
      <w:pPr>
        <w:ind w:left="3240" w:hanging="360"/>
      </w:pPr>
      <w:rPr>
        <w:rFonts w:ascii="Calibri" w:eastAsiaTheme="minorHAnsi" w:hAnsi="Calibri" w:cs="Calibri" w:hint="default"/>
        <w:b/>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43" w15:restartNumberingAfterBreak="0">
    <w:nsid w:val="7CB912E8"/>
    <w:multiLevelType w:val="hybridMultilevel"/>
    <w:tmpl w:val="E6DAF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48111E"/>
    <w:multiLevelType w:val="hybridMultilevel"/>
    <w:tmpl w:val="A1CC7C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7EFE1C1E"/>
    <w:multiLevelType w:val="hybridMultilevel"/>
    <w:tmpl w:val="D5189E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2"/>
  </w:num>
  <w:num w:numId="2">
    <w:abstractNumId w:val="8"/>
  </w:num>
  <w:num w:numId="3">
    <w:abstractNumId w:val="22"/>
  </w:num>
  <w:num w:numId="4">
    <w:abstractNumId w:val="28"/>
  </w:num>
  <w:num w:numId="5">
    <w:abstractNumId w:val="3"/>
  </w:num>
  <w:num w:numId="6">
    <w:abstractNumId w:val="41"/>
  </w:num>
  <w:num w:numId="7">
    <w:abstractNumId w:val="15"/>
  </w:num>
  <w:num w:numId="8">
    <w:abstractNumId w:val="18"/>
  </w:num>
  <w:num w:numId="9">
    <w:abstractNumId w:val="24"/>
  </w:num>
  <w:num w:numId="10">
    <w:abstractNumId w:val="36"/>
  </w:num>
  <w:num w:numId="11">
    <w:abstractNumId w:val="10"/>
  </w:num>
  <w:num w:numId="12">
    <w:abstractNumId w:val="6"/>
  </w:num>
  <w:num w:numId="13">
    <w:abstractNumId w:val="30"/>
  </w:num>
  <w:num w:numId="14">
    <w:abstractNumId w:val="19"/>
  </w:num>
  <w:num w:numId="15">
    <w:abstractNumId w:val="13"/>
  </w:num>
  <w:num w:numId="16">
    <w:abstractNumId w:val="14"/>
  </w:num>
  <w:num w:numId="17">
    <w:abstractNumId w:val="1"/>
  </w:num>
  <w:num w:numId="18">
    <w:abstractNumId w:val="23"/>
  </w:num>
  <w:num w:numId="19">
    <w:abstractNumId w:val="2"/>
  </w:num>
  <w:num w:numId="20">
    <w:abstractNumId w:val="29"/>
  </w:num>
  <w:num w:numId="21">
    <w:abstractNumId w:val="40"/>
  </w:num>
  <w:num w:numId="22">
    <w:abstractNumId w:val="4"/>
  </w:num>
  <w:num w:numId="23">
    <w:abstractNumId w:val="16"/>
  </w:num>
  <w:num w:numId="24">
    <w:abstractNumId w:val="21"/>
  </w:num>
  <w:num w:numId="25">
    <w:abstractNumId w:val="25"/>
  </w:num>
  <w:num w:numId="26">
    <w:abstractNumId w:val="12"/>
  </w:num>
  <w:num w:numId="27">
    <w:abstractNumId w:val="20"/>
  </w:num>
  <w:num w:numId="28">
    <w:abstractNumId w:val="34"/>
  </w:num>
  <w:num w:numId="29">
    <w:abstractNumId w:val="7"/>
  </w:num>
  <w:num w:numId="30">
    <w:abstractNumId w:val="32"/>
  </w:num>
  <w:num w:numId="31">
    <w:abstractNumId w:val="17"/>
  </w:num>
  <w:num w:numId="32">
    <w:abstractNumId w:val="35"/>
  </w:num>
  <w:num w:numId="33">
    <w:abstractNumId w:val="43"/>
  </w:num>
  <w:num w:numId="34">
    <w:abstractNumId w:val="44"/>
  </w:num>
  <w:num w:numId="35">
    <w:abstractNumId w:val="27"/>
  </w:num>
  <w:num w:numId="36">
    <w:abstractNumId w:val="45"/>
  </w:num>
  <w:num w:numId="37">
    <w:abstractNumId w:val="11"/>
  </w:num>
  <w:num w:numId="38">
    <w:abstractNumId w:val="9"/>
  </w:num>
  <w:num w:numId="39">
    <w:abstractNumId w:val="26"/>
  </w:num>
  <w:num w:numId="40">
    <w:abstractNumId w:val="31"/>
  </w:num>
  <w:num w:numId="41">
    <w:abstractNumId w:val="0"/>
  </w:num>
  <w:num w:numId="42">
    <w:abstractNumId w:val="39"/>
  </w:num>
  <w:num w:numId="43">
    <w:abstractNumId w:val="5"/>
  </w:num>
  <w:num w:numId="44">
    <w:abstractNumId w:val="33"/>
  </w:num>
  <w:num w:numId="45">
    <w:abstractNumId w:val="38"/>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DD"/>
    <w:rsid w:val="000A4CE9"/>
    <w:rsid w:val="000D35DD"/>
    <w:rsid w:val="00141276"/>
    <w:rsid w:val="00156178"/>
    <w:rsid w:val="00230339"/>
    <w:rsid w:val="002677E6"/>
    <w:rsid w:val="00293A07"/>
    <w:rsid w:val="002A0C80"/>
    <w:rsid w:val="002B4F21"/>
    <w:rsid w:val="0030315D"/>
    <w:rsid w:val="0034334C"/>
    <w:rsid w:val="00345595"/>
    <w:rsid w:val="00386142"/>
    <w:rsid w:val="003A0B73"/>
    <w:rsid w:val="003E3936"/>
    <w:rsid w:val="00430997"/>
    <w:rsid w:val="00481F1F"/>
    <w:rsid w:val="004F4537"/>
    <w:rsid w:val="005D53C9"/>
    <w:rsid w:val="005D7903"/>
    <w:rsid w:val="006254F1"/>
    <w:rsid w:val="00651225"/>
    <w:rsid w:val="006B02CF"/>
    <w:rsid w:val="006E18EA"/>
    <w:rsid w:val="006E5173"/>
    <w:rsid w:val="00701BEA"/>
    <w:rsid w:val="00711CF1"/>
    <w:rsid w:val="00753B32"/>
    <w:rsid w:val="00771A8A"/>
    <w:rsid w:val="00794F0A"/>
    <w:rsid w:val="007F0A10"/>
    <w:rsid w:val="007F107A"/>
    <w:rsid w:val="00806CF4"/>
    <w:rsid w:val="00806FB1"/>
    <w:rsid w:val="0081614D"/>
    <w:rsid w:val="00824D62"/>
    <w:rsid w:val="00845386"/>
    <w:rsid w:val="00863A47"/>
    <w:rsid w:val="008C33D2"/>
    <w:rsid w:val="008C4398"/>
    <w:rsid w:val="008E38D6"/>
    <w:rsid w:val="00936022"/>
    <w:rsid w:val="00947468"/>
    <w:rsid w:val="00976BCE"/>
    <w:rsid w:val="00996F51"/>
    <w:rsid w:val="009F4A9F"/>
    <w:rsid w:val="00A123A5"/>
    <w:rsid w:val="00A4542A"/>
    <w:rsid w:val="00A70435"/>
    <w:rsid w:val="00AB1450"/>
    <w:rsid w:val="00AC6B74"/>
    <w:rsid w:val="00B22DB4"/>
    <w:rsid w:val="00B27976"/>
    <w:rsid w:val="00B368B7"/>
    <w:rsid w:val="00BD7A31"/>
    <w:rsid w:val="00BF6D35"/>
    <w:rsid w:val="00C104C5"/>
    <w:rsid w:val="00C167D3"/>
    <w:rsid w:val="00C3463C"/>
    <w:rsid w:val="00C55306"/>
    <w:rsid w:val="00C63A90"/>
    <w:rsid w:val="00C75B86"/>
    <w:rsid w:val="00C82347"/>
    <w:rsid w:val="00C82AC0"/>
    <w:rsid w:val="00C8323C"/>
    <w:rsid w:val="00C97202"/>
    <w:rsid w:val="00CB5C77"/>
    <w:rsid w:val="00CD4497"/>
    <w:rsid w:val="00D3428C"/>
    <w:rsid w:val="00D717BB"/>
    <w:rsid w:val="00DA2118"/>
    <w:rsid w:val="00E11E6F"/>
    <w:rsid w:val="00E35649"/>
    <w:rsid w:val="00E7258E"/>
    <w:rsid w:val="00F17049"/>
    <w:rsid w:val="00F34B1D"/>
    <w:rsid w:val="00F93216"/>
    <w:rsid w:val="00FC1538"/>
    <w:rsid w:val="00FE3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51B0"/>
  <w15:docId w15:val="{8CE1F84B-39DF-49D0-8040-48791949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0A"/>
  </w:style>
  <w:style w:type="paragraph" w:styleId="Heading1">
    <w:name w:val="heading 1"/>
    <w:basedOn w:val="Normal"/>
    <w:next w:val="Normal"/>
    <w:link w:val="Heading1Char"/>
    <w:uiPriority w:val="9"/>
    <w:qFormat/>
    <w:rsid w:val="00C75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5D"/>
    <w:pPr>
      <w:ind w:left="720"/>
      <w:contextualSpacing/>
    </w:pPr>
  </w:style>
  <w:style w:type="character" w:customStyle="1" w:styleId="Heading1Char">
    <w:name w:val="Heading 1 Char"/>
    <w:basedOn w:val="DefaultParagraphFont"/>
    <w:link w:val="Heading1"/>
    <w:uiPriority w:val="9"/>
    <w:rsid w:val="00C75B86"/>
    <w:rPr>
      <w:rFonts w:asciiTheme="majorHAnsi" w:eastAsiaTheme="majorEastAsia" w:hAnsiTheme="majorHAnsi" w:cstheme="majorBidi"/>
      <w:color w:val="2F5496" w:themeColor="accent1" w:themeShade="BF"/>
      <w:sz w:val="32"/>
      <w:szCs w:val="32"/>
    </w:rPr>
  </w:style>
  <w:style w:type="paragraph" w:customStyle="1" w:styleId="Default">
    <w:name w:val="Default"/>
    <w:rsid w:val="00A454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5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fcdc6761-ddbd-4055-8d1a-097761aebb9b">
      <Terms xmlns="http://schemas.microsoft.com/office/infopath/2007/PartnerControls"/>
    </eDocs_DocumentTopicsTaxHTField0>
    <TaxCatchAll xmlns="75b11550-83ae-43bf-ac6d-0ae5bbc5918a">
      <Value>12</Value>
      <Value>5</Value>
      <Value>4</Value>
    </TaxCatchAll>
    <eDocs_FileTopicsTaxHTField0 xmlns="fcdc6761-ddbd-4055-8d1a-097761aebb9b">
      <Terms xmlns="http://schemas.microsoft.com/office/infopath/2007/PartnerControls">
        <TermInfo xmlns="http://schemas.microsoft.com/office/infopath/2007/PartnerControls">
          <TermName xmlns="http://schemas.microsoft.com/office/infopath/2007/PartnerControls">Policy, Meeting</TermName>
          <TermId xmlns="http://schemas.microsoft.com/office/infopath/2007/PartnerControls">c4abbe8a-3bd5-45d2-92e7-3d2df1df6e3d</TermId>
        </TermInfo>
      </Terms>
    </eDocs_FileTopicsTaxHTField0>
    <eDocs_FileStatus xmlns="http://schemas.microsoft.com/sharepoint/v3">Live</eDocs_FileStatus>
    <eDocs_SeriesSubSeriesTaxHTField0 xmlns="fcdc6761-ddbd-4055-8d1a-097761aebb9b">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5baac273-b703-4cf7-9e47-a2d8e5ffefe0</TermId>
        </TermInfo>
      </Terms>
    </eDocs_SeriesSubSeriesTaxHTField0>
    <eDocs_YearTaxHTField0 xmlns="fcdc6761-ddbd-4055-8d1a-097761aebb9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3c38dad0-3e68-4999-9a17-82d6101bd45b</TermId>
        </TermInfo>
      </Terms>
    </eDocs_YearTaxHTField0>
    <eDocs_FileName xmlns="http://schemas.microsoft.com/sharepoint/v3">AGMMP007-012-2020</eDocs_FileName>
    <_dlc_ExpireDateSaved xmlns="http://schemas.microsoft.com/sharepoint/v3" xsi:nil="true"/>
    <_dlc_ExpireDate xmlns="http://schemas.microsoft.com/sharepoint/v3">2021-04-04T15:18:17+00:00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A89D7DB6168401418A0673724439356A" ma:contentTypeVersion="11" ma:contentTypeDescription="Create a new document for eDocs" ma:contentTypeScope="" ma:versionID="d22822d76d77ace9e02c87ae81e1ab1a">
  <xsd:schema xmlns:xsd="http://www.w3.org/2001/XMLSchema" xmlns:xs="http://www.w3.org/2001/XMLSchema" xmlns:p="http://schemas.microsoft.com/office/2006/metadata/properties" xmlns:ns1="http://schemas.microsoft.com/sharepoint/v3" xmlns:ns2="fcdc6761-ddbd-4055-8d1a-097761aebb9b" xmlns:ns3="75b11550-83ae-43bf-ac6d-0ae5bbc5918a" targetNamespace="http://schemas.microsoft.com/office/2006/metadata/properties" ma:root="true" ma:fieldsID="2cbe64393826005d69afae3a1b0fadd4" ns1:_="" ns2:_="" ns3:_="">
    <xsd:import namespace="http://schemas.microsoft.com/sharepoint/v3"/>
    <xsd:import namespace="fcdc6761-ddbd-4055-8d1a-097761aebb9b"/>
    <xsd:import namespace="75b11550-83ae-43bf-ac6d-0ae5bbc5918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cdc6761-ddbd-4055-8d1a-097761aebb9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11abb8f2-0712-40eb-9ac2-d43bd15d6fb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11abb8f2-0712-40eb-9ac2-d43bd15d6f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11550-83ae-43bf-ac6d-0ae5bbc591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e887db-919e-4967-b958-15f39d1ce29e}" ma:internalName="TaxCatchAll" ma:showField="CatchAllData" ma:web="75b11550-83ae-43bf-ac6d-0ae5bbc59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1485be5-0f3d-496d-90da-dda886c6be16">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86BAD-99D6-4DA1-8467-EC3F1B2DBD17}">
  <ds:schemaRefs>
    <ds:schemaRef ds:uri="http://schemas.microsoft.com/office/2006/metadata/properties"/>
    <ds:schemaRef ds:uri="http://schemas.microsoft.com/office/infopath/2007/PartnerControls"/>
    <ds:schemaRef ds:uri="fcdc6761-ddbd-4055-8d1a-097761aebb9b"/>
    <ds:schemaRef ds:uri="75b11550-83ae-43bf-ac6d-0ae5bbc5918a"/>
    <ds:schemaRef ds:uri="http://schemas.microsoft.com/sharepoint/v3"/>
  </ds:schemaRefs>
</ds:datastoreItem>
</file>

<file path=customXml/itemProps2.xml><?xml version="1.0" encoding="utf-8"?>
<ds:datastoreItem xmlns:ds="http://schemas.openxmlformats.org/officeDocument/2006/customXml" ds:itemID="{5DBC5C23-8F74-466F-85D5-50D6DCE76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dc6761-ddbd-4055-8d1a-097761aebb9b"/>
    <ds:schemaRef ds:uri="75b11550-83ae-43bf-ac6d-0ae5bbc59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DE366-84A2-4DFB-9B43-4E598565D7CE}">
  <ds:schemaRefs>
    <ds:schemaRef ds:uri="http://schemas.microsoft.com/sharepoint/events"/>
  </ds:schemaRefs>
</ds:datastoreItem>
</file>

<file path=customXml/itemProps4.xml><?xml version="1.0" encoding="utf-8"?>
<ds:datastoreItem xmlns:ds="http://schemas.openxmlformats.org/officeDocument/2006/customXml" ds:itemID="{FD8F4689-3542-4863-94C2-D7F18B41BF10}">
  <ds:schemaRefs>
    <ds:schemaRef ds:uri="office.server.policy"/>
  </ds:schemaRefs>
</ds:datastoreItem>
</file>

<file path=customXml/itemProps5.xml><?xml version="1.0" encoding="utf-8"?>
<ds:datastoreItem xmlns:ds="http://schemas.openxmlformats.org/officeDocument/2006/customXml" ds:itemID="{667132A6-A490-484A-874A-CD8982BE7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 Lydia</dc:creator>
  <cp:lastModifiedBy>Murray, Gregory</cp:lastModifiedBy>
  <cp:revision>2</cp:revision>
  <cp:lastPrinted>2021-03-08T13:00:00Z</cp:lastPrinted>
  <dcterms:created xsi:type="dcterms:W3CDTF">2021-03-08T13:05:00Z</dcterms:created>
  <dcterms:modified xsi:type="dcterms:W3CDTF">2021-03-08T13:05:00Z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0x0101000BC94875665D404BB1351B53C41FD2C000A89D7DB6168401418A0673724439356A</vt:lpwstr>
  </property>
  <property fmtid="{D5CDD505-2E9C-101B-9397-08002B2CF9AE}" pid="3" name="eDocs_Year">
    <vt:lpwstr>4;#2020|3c38dad0-3e68-4999-9a17-82d6101bd45b</vt:lpwstr>
  </property>
  <property fmtid="{D5CDD505-2E9C-101B-9397-08002B2CF9AE}" pid="4" name="eDocs_SeriesSubSeries">
    <vt:lpwstr>5;#007|5baac273-b703-4cf7-9e47-a2d8e5ffefe0</vt:lpwstr>
  </property>
  <property fmtid="{D5CDD505-2E9C-101B-9397-08002B2CF9AE}" pid="5" name="eDocs_FileTopics">
    <vt:lpwstr>12;#Policy, Meeting|c4abbe8a-3bd5-45d2-92e7-3d2df1df6e3d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_docset_NoMedatataSyncRequired">
    <vt:lpwstr>False</vt:lpwstr>
  </property>
</Properties>
</file>